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45091" w14:textId="77777777" w:rsidR="00A45644" w:rsidRDefault="00A45644" w:rsidP="0024017A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2. sz. melléklet:</w:t>
      </w:r>
    </w:p>
    <w:p w14:paraId="4553A26B" w14:textId="77777777" w:rsidR="00A45644" w:rsidRPr="004024A0" w:rsidRDefault="00A45644" w:rsidP="00A23C4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 xml:space="preserve">Példa a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</w:p>
    <w:p w14:paraId="348AB13F" w14:textId="77777777" w:rsidR="00A45644" w:rsidRDefault="00A4564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14:paraId="47BE9793" w14:textId="77777777" w:rsidR="00A45644" w:rsidRDefault="00A4564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75C9CC7F" w14:textId="77777777" w:rsidR="00A45644" w:rsidRDefault="00A45644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59B72C21" w14:textId="77777777" w:rsidR="00A45644" w:rsidRPr="00D26E33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6324E1E7" w14:textId="77777777" w:rsidR="00A45644" w:rsidRPr="00D26E33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18FB34AF" w14:textId="77777777" w:rsidR="00A45644" w:rsidRPr="00D2184F" w:rsidRDefault="00A45644" w:rsidP="00A23C4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beolvadásban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</w:t>
      </w:r>
      <w:proofErr w:type="gramStart"/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7820E846" w14:textId="77777777" w:rsidR="00A45644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lang w:val="hu-HU" w:bidi="he-IL"/>
        </w:rPr>
      </w:pPr>
    </w:p>
    <w:p w14:paraId="217BC94E" w14:textId="77777777" w:rsidR="00A45644" w:rsidRPr="0024017A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24017A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a vagyonmérleg-tervezetekről</w:t>
      </w:r>
    </w:p>
    <w:p w14:paraId="24E68330" w14:textId="77777777" w:rsidR="00A45644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3A4397B6" w14:textId="77777777" w:rsidR="00A45644" w:rsidRPr="00D2184F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4E2001B3" w14:textId="77777777" w:rsidR="00A45644" w:rsidRDefault="00A45644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3CEE0F09" w14:textId="55EFC12E" w:rsidR="00A45644" w:rsidRPr="00D2184F" w:rsidRDefault="00A45644" w:rsidP="00A23C48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tervezett </w:t>
      </w:r>
      <w:r>
        <w:rPr>
          <w:rFonts w:ascii="Times New Roman" w:hAnsi="Times New Roman"/>
          <w:sz w:val="20"/>
          <w:lang w:val="hu-HU"/>
        </w:rPr>
        <w:t>beolvadásával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20X</w:t>
      </w:r>
      <w:r w:rsidR="00FA7D96">
        <w:rPr>
          <w:rFonts w:ascii="Times New Roman" w:hAnsi="Times New Roman"/>
          <w:color w:val="FF0000"/>
          <w:sz w:val="20"/>
          <w:lang w:val="hu-HU"/>
        </w:rPr>
        <w:t>1</w:t>
      </w:r>
      <w:r>
        <w:rPr>
          <w:rFonts w:ascii="Times New Roman" w:hAnsi="Times New Roman"/>
          <w:color w:val="FF0000"/>
          <w:sz w:val="20"/>
          <w:lang w:val="hu-HU"/>
        </w:rPr>
        <w:t>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</w:t>
      </w:r>
      <w:proofErr w:type="spellStart"/>
      <w:r w:rsidRPr="00D2184F">
        <w:rPr>
          <w:rFonts w:ascii="Times New Roman" w:hAnsi="Times New Roman"/>
          <w:color w:val="FF0000"/>
          <w:sz w:val="20"/>
          <w:lang w:val="hu-HU"/>
        </w:rPr>
        <w:t>xxxx</w:t>
      </w:r>
      <w:proofErr w:type="spellEnd"/>
      <w:r w:rsidRPr="00D2184F">
        <w:rPr>
          <w:rFonts w:ascii="Times New Roman" w:hAnsi="Times New Roman"/>
          <w:color w:val="FF0000"/>
          <w:sz w:val="20"/>
          <w:lang w:val="hu-HU"/>
        </w:rPr>
        <w:t xml:space="preserve">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beolvadási</w:t>
      </w:r>
      <w:r w:rsidRPr="00D2184F">
        <w:rPr>
          <w:rFonts w:ascii="Times New Roman" w:hAnsi="Times New Roman"/>
          <w:sz w:val="20"/>
          <w:lang w:val="hu-HU"/>
        </w:rPr>
        <w:t xml:space="preserve"> vagyonmérleg-tervezetek és vagyonleltár-tervezetek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„vagyonmérleg-tervezet” vagy </w:t>
      </w:r>
      <w:r w:rsidRPr="00D2184F">
        <w:rPr>
          <w:rFonts w:ascii="Times New Roman" w:hAnsi="Times New Roman"/>
          <w:sz w:val="20"/>
          <w:lang w:val="hu-HU"/>
        </w:rPr>
        <w:t>„vagyonmérleg-tervezetek”) könyvvizsgálatát, amelynek során megvizsgáltuk:</w:t>
      </w:r>
    </w:p>
    <w:p w14:paraId="13C3B266" w14:textId="77777777" w:rsidR="00A45644" w:rsidRPr="00D2184F" w:rsidRDefault="00A45644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(a)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változatlan formában </w:t>
      </w:r>
      <w:proofErr w:type="spellStart"/>
      <w:r w:rsidRPr="00D2184F">
        <w:rPr>
          <w:rFonts w:ascii="Times New Roman" w:hAnsi="Times New Roman" w:cs="Times New Roman"/>
          <w:sz w:val="20"/>
          <w:szCs w:val="20"/>
        </w:rPr>
        <w:t>továbbműködő</w:t>
      </w:r>
      <w:proofErr w:type="spellEnd"/>
      <w:r w:rsidRPr="00D2184F">
        <w:rPr>
          <w:rFonts w:ascii="Times New Roman" w:hAnsi="Times New Roman" w:cs="Times New Roman"/>
          <w:sz w:val="20"/>
          <w:szCs w:val="20"/>
        </w:rPr>
        <w:t xml:space="preserve"> átvevő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(„átvevő társaság”)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beolvadás előtti állapotra vonatkozó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14:paraId="559FBCA2" w14:textId="77777777" w:rsidR="00A45644" w:rsidRPr="00D2184F" w:rsidRDefault="00A45644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(b)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Beolvadó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során az átvevő társaságba történő beolvadás miatt megszűnő társaság 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14:paraId="6C147AED" w14:textId="77777777" w:rsidR="00A45644" w:rsidRPr="00D2184F" w:rsidRDefault="00A45644" w:rsidP="00A23C48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(c)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a(az)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Átvevő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 xml:space="preserve">], </w:t>
      </w:r>
      <w:r w:rsidRPr="00D2184F">
        <w:rPr>
          <w:rFonts w:ascii="Times New Roman" w:hAnsi="Times New Roman" w:cs="Times New Roman"/>
          <w:sz w:val="20"/>
          <w:szCs w:val="20"/>
        </w:rPr>
        <w:t xml:space="preserve">mint a </w:t>
      </w:r>
      <w:r>
        <w:rPr>
          <w:rFonts w:ascii="Times New Roman" w:hAnsi="Times New Roman" w:cs="Times New Roman"/>
          <w:sz w:val="20"/>
          <w:szCs w:val="20"/>
        </w:rPr>
        <w:t>beolvadás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proofErr w:type="spellStart"/>
      <w:r w:rsidRPr="00D2184F">
        <w:rPr>
          <w:rFonts w:ascii="Times New Roman" w:hAnsi="Times New Roman" w:cs="Times New Roman"/>
          <w:sz w:val="20"/>
          <w:szCs w:val="20"/>
        </w:rPr>
        <w:t>továbbműködő</w:t>
      </w:r>
      <w:proofErr w:type="spellEnd"/>
      <w:r w:rsidRPr="00D2184F">
        <w:rPr>
          <w:rFonts w:ascii="Times New Roman" w:hAnsi="Times New Roman" w:cs="Times New Roman"/>
          <w:sz w:val="20"/>
          <w:szCs w:val="20"/>
        </w:rPr>
        <w:t xml:space="preserve"> társaság (</w:t>
      </w:r>
      <w:r>
        <w:rPr>
          <w:rFonts w:ascii="Times New Roman" w:hAnsi="Times New Roman" w:cs="Times New Roman"/>
          <w:sz w:val="20"/>
          <w:szCs w:val="20"/>
        </w:rPr>
        <w:t>„</w:t>
      </w:r>
      <w:r w:rsidRPr="00D2184F">
        <w:rPr>
          <w:rFonts w:ascii="Times New Roman" w:hAnsi="Times New Roman" w:cs="Times New Roman"/>
          <w:sz w:val="20"/>
          <w:szCs w:val="20"/>
        </w:rPr>
        <w:t>jogutód társaság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D2184F">
        <w:rPr>
          <w:rFonts w:ascii="Times New Roman" w:hAnsi="Times New Roman" w:cs="Times New Roman"/>
          <w:sz w:val="20"/>
          <w:szCs w:val="20"/>
        </w:rPr>
        <w:t>) beolvadás utáni tervezett vagyoni helyzetét bemutató</w:t>
      </w:r>
      <w:r w:rsidRPr="00D2184F">
        <w:rPr>
          <w:rFonts w:ascii="Times New Roman" w:hAnsi="Times New Roman" w:cs="Times New Roman"/>
          <w:iCs/>
          <w:spacing w:val="-2"/>
          <w:sz w:val="20"/>
          <w:szCs w:val="20"/>
        </w:rPr>
        <w:t xml:space="preserve">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vagyonmérleg-tervezetét,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.</w:t>
      </w:r>
    </w:p>
    <w:p w14:paraId="68BCBB66" w14:textId="77777777" w:rsidR="00A45644" w:rsidRPr="00D2184F" w:rsidRDefault="00A45644" w:rsidP="00A23C48">
      <w:pPr>
        <w:pStyle w:val="Szvegtrzs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beolvadásban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„Egyesülő Társaságok”.</w:t>
      </w:r>
    </w:p>
    <w:p w14:paraId="2B6E2813" w14:textId="77777777" w:rsidR="00A45644" w:rsidRPr="00D2184F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C042995" w14:textId="6F665100" w:rsidR="00A45644" w:rsidRDefault="00A45644" w:rsidP="00A23C4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átvevő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Beolvadó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beolvadó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Átvevő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után változatlan formában tovább működő jogutód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</w:t>
      </w:r>
      <w:r w:rsidR="00FA7D96">
        <w:rPr>
          <w:rFonts w:ascii="Times New Roman" w:hAnsi="Times New Roman"/>
          <w:i/>
          <w:color w:val="FF0000"/>
          <w:sz w:val="20"/>
          <w:szCs w:val="20"/>
          <w:lang w:val="hu-HU"/>
        </w:rPr>
        <w:t>0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X</w:t>
      </w:r>
      <w:r w:rsidR="00FA7D96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06BC1A51" w14:textId="77777777" w:rsidR="00A45644" w:rsidRPr="002E3ADC" w:rsidRDefault="00A45644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794A3917" w14:textId="77777777" w:rsidR="00A45644" w:rsidRPr="00D26E33" w:rsidRDefault="00A4564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2F7D12E1" w14:textId="77777777"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C4A0E63" w14:textId="77777777"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7016E532" w14:textId="77777777" w:rsidR="00A45644" w:rsidRPr="00D26E33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963AB79" w14:textId="4E51A53C"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az Egyesülő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FA7D96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FA7D96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FA7D96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FA7D96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FA7D96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3FB6019F" w14:textId="77777777" w:rsidR="00A45644" w:rsidRPr="00CD0C83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469013C" w14:textId="77777777" w:rsidR="00A45644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0B6137C9" w14:textId="77777777" w:rsidR="00A45644" w:rsidRDefault="00A4564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2BA5DD75" w14:textId="77777777" w:rsidR="00A45644" w:rsidRPr="00D81BE9" w:rsidRDefault="00A45644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152D9744" w14:textId="77777777" w:rsidR="00A45644" w:rsidRDefault="00A45644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1110C34E" w14:textId="77777777" w:rsidR="00A45644" w:rsidRPr="00D81BE9" w:rsidRDefault="00A45644" w:rsidP="00FD2D7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az </w:t>
      </w:r>
      <w:r>
        <w:rPr>
          <w:rFonts w:ascii="Times New Roman" w:hAnsi="Times New Roman"/>
          <w:sz w:val="20"/>
          <w:szCs w:val="20"/>
          <w:lang w:val="hu-HU"/>
        </w:rPr>
        <w:t>E</w:t>
      </w:r>
      <w:r w:rsidRPr="00516E90">
        <w:rPr>
          <w:rFonts w:ascii="Times New Roman" w:hAnsi="Times New Roman"/>
          <w:sz w:val="20"/>
          <w:szCs w:val="20"/>
          <w:lang w:val="hu-HU"/>
        </w:rPr>
        <w:t>gyesül</w:t>
      </w:r>
      <w:r>
        <w:rPr>
          <w:rFonts w:ascii="Times New Roman" w:hAnsi="Times New Roman"/>
          <w:sz w:val="20"/>
          <w:szCs w:val="20"/>
          <w:lang w:val="hu-HU"/>
        </w:rPr>
        <w:t>ő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4B213245" w14:textId="77777777" w:rsidR="00A45644" w:rsidRPr="00D26E33" w:rsidRDefault="00A45644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53925DFA" w14:textId="77777777" w:rsidR="00A45644" w:rsidRPr="003D1DA3" w:rsidRDefault="00A45644" w:rsidP="0024017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lastRenderedPageBreak/>
        <w:t xml:space="preserve">Egyéb információk: Az egyesülési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(beolvadási)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14:paraId="312C22A7" w14:textId="77777777" w:rsidR="00A45644" w:rsidRDefault="00A4564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53A2A8D" w14:textId="77777777" w:rsidR="00A45644" w:rsidRDefault="00A45644" w:rsidP="00A23C48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>Az egyéb információk, az Egyesülő Társaságok vagyonmérleg-tervezetei és az azokat alátámasztó vagyonleltár-tervezetek kivételével, az átalakulási törvény 3. §-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ában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 xml:space="preserve"> meghatározott </w:t>
      </w:r>
      <w:r>
        <w:rPr>
          <w:rFonts w:ascii="Times New Roman" w:hAnsi="Times New Roman"/>
          <w:sz w:val="20"/>
          <w:szCs w:val="20"/>
          <w:lang w:val="hu-HU"/>
        </w:rPr>
        <w:t>egyesülési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(</w:t>
      </w:r>
      <w:r>
        <w:rPr>
          <w:rFonts w:ascii="Times New Roman" w:hAnsi="Times New Roman"/>
          <w:sz w:val="20"/>
          <w:szCs w:val="20"/>
          <w:lang w:val="hu-HU"/>
        </w:rPr>
        <w:t>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tervet foglalják magukban.  A független könyvvizsgálói jelentésem(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„Vélemény” szakaszában a vagyonmérleg-tervezetekre adott könyvvizsgálói véleményem(</w:t>
      </w:r>
      <w:proofErr w:type="spellStart"/>
      <w:r w:rsidRPr="00FA4697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FA4697">
        <w:rPr>
          <w:rFonts w:ascii="Times New Roman" w:hAnsi="Times New Roman"/>
          <w:sz w:val="20"/>
          <w:szCs w:val="20"/>
          <w:lang w:val="hu-HU"/>
        </w:rPr>
        <w:t>) nem vonatkozik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</w:t>
      </w:r>
      <w:r w:rsidRPr="00FA4697">
        <w:rPr>
          <w:rFonts w:ascii="Times New Roman" w:hAnsi="Times New Roman"/>
          <w:sz w:val="20"/>
          <w:szCs w:val="20"/>
          <w:lang w:val="hu-HU"/>
        </w:rPr>
        <w:t>) tervre. A vezetés felelős az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14:paraId="237F1A72" w14:textId="77777777" w:rsidR="00A45644" w:rsidRPr="003D1DA3" w:rsidRDefault="00A4564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E265C3B" w14:textId="77777777" w:rsidR="00A45644" w:rsidRDefault="00A45644" w:rsidP="00A23C48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>A vagyonmérleg-tervezetek általam(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végzett könyvvizsgálatával kapcsolatban az én (a mi) felelősségem(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az 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lényegesen ellentmond-e a vagyonmérleg-tervezeteknek vagy a könyvvizsgálat során szerzett ismereteim(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nek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 alapján arra a következtetésre jutok(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), hogy az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egyesülési</w:t>
      </w:r>
      <w:r>
        <w:rPr>
          <w:rFonts w:ascii="Times New Roman" w:hAnsi="Times New Roman"/>
          <w:sz w:val="20"/>
          <w:szCs w:val="20"/>
          <w:lang w:val="hu-HU"/>
        </w:rPr>
        <w:t xml:space="preserve"> (beolvadási)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 lényeges hibás állítást tartalmaz, kötelességem(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 xml:space="preserve">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</w:t>
      </w:r>
      <w:proofErr w:type="spellStart"/>
      <w:r w:rsidRPr="003D1DA3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3D1DA3">
        <w:rPr>
          <w:rFonts w:ascii="Times New Roman" w:hAnsi="Times New Roman"/>
          <w:sz w:val="20"/>
          <w:szCs w:val="20"/>
          <w:lang w:val="hu-HU"/>
        </w:rPr>
        <w:t>).</w:t>
      </w:r>
    </w:p>
    <w:p w14:paraId="00AD34F4" w14:textId="77777777" w:rsidR="00A45644" w:rsidRPr="003D1DA3" w:rsidRDefault="00A45644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FD52F3D" w14:textId="77777777" w:rsidR="00A45644" w:rsidRPr="00D26E33" w:rsidRDefault="00A45644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0081EC4A" w14:textId="77777777" w:rsidR="00A45644" w:rsidRDefault="00A4564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352898C" w14:textId="77777777"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vezetés felelős a vagyonmérleg-tervezeteknek a számviteli törvény 136-141. §-okban foglaltakkal összhangban történő elkészítéséért, valamint az olyan belső kontrollért, amelyet a vezetés szükségesnek tart ahhoz, hogy lehetővé váljon az akár csalásból, akár hibából eredő lényeges hibás állítástól mentes vagyonmérleg-tervezetek elkészítése. </w:t>
      </w:r>
    </w:p>
    <w:p w14:paraId="60737399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82696F6" w14:textId="77777777"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 vagyonmérleg-tervezetek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 </w:t>
      </w:r>
    </w:p>
    <w:p w14:paraId="0B7A482B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D2F4334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 xml:space="preserve">Az irányítással megbízott személyek felelősek az irányításuk alatt lévő társaság pénzügyi beszámolási folyamatának felügyeletéért. </w:t>
      </w:r>
    </w:p>
    <w:p w14:paraId="49321AD3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23BF116" w14:textId="77777777" w:rsidR="00A45644" w:rsidRPr="00DD46F2" w:rsidRDefault="00A45644" w:rsidP="00DD46F2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DD46F2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vagyonmérleg-tervezetek könyvvizsgálatáért való felelőssége </w:t>
      </w:r>
    </w:p>
    <w:p w14:paraId="709CAA10" w14:textId="77777777"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4535162F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könyvvizsgálat során célom(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kellő bizonyosságot szerezni arról, hogy a vagyonmérleg-tervezeteket a számviteli törvény 136-141. §-okban foglalt rendelkezéseivel összhangban állították össze és a vagyonmérleg-tervezetek egésze nem tartalmaz akár csalásból, akár hibából eredő lényeges hibás állítást, valamint az, hogy ennek alapján a véleményemet(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ünket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tartalmazó független könyvvizsgálói jelentést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bocsássak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sunk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vagyonmérleg-tervezetek alapján meghozott gazdasági döntéseit. </w:t>
      </w:r>
    </w:p>
    <w:p w14:paraId="20A0D1FB" w14:textId="77777777" w:rsidR="00A45644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4A459E8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 Magyar Nemzeti Könyvvizsgálati Standardok szerinti könyvvizsgálat egésze során szakmai megítélést alkalmazok(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szakmai szkepticizmust tartok(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fenn. </w:t>
      </w:r>
    </w:p>
    <w:p w14:paraId="4019FD50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Továbbá:</w:t>
      </w:r>
    </w:p>
    <w:p w14:paraId="4017AC58" w14:textId="77777777"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Azonosítom(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felmérem(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vagyonmérleg-tervezetek akár csalásból, akár hibából eredő lényeges hibás állításainak a kockázatait, kialakítom(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és végrehajtom(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véleményem(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673B9457" w14:textId="77777777" w:rsidR="00A45644" w:rsidRPr="00D26E33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>Megismerem(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 xml:space="preserve">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</w:t>
      </w:r>
      <w:r>
        <w:rPr>
          <w:rFonts w:ascii="Times New Roman" w:hAnsi="Times New Roman"/>
          <w:sz w:val="20"/>
          <w:szCs w:val="20"/>
          <w:lang w:val="hu-HU"/>
        </w:rPr>
        <w:t>z Egyesülő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Társaság</w:t>
      </w:r>
      <w:r>
        <w:rPr>
          <w:rFonts w:ascii="Times New Roman" w:hAnsi="Times New Roman"/>
          <w:sz w:val="20"/>
          <w:szCs w:val="20"/>
          <w:lang w:val="hu-HU"/>
        </w:rPr>
        <w:t>ok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belső kontrolljának hatékonyságára vonatkozóan véleményt nyilvánítsak(</w:t>
      </w:r>
      <w:proofErr w:type="spellStart"/>
      <w:r w:rsidRPr="00D26E33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26E33">
        <w:rPr>
          <w:rFonts w:ascii="Times New Roman" w:hAnsi="Times New Roman"/>
          <w:sz w:val="20"/>
          <w:szCs w:val="20"/>
          <w:lang w:val="hu-HU"/>
        </w:rPr>
        <w:t>).</w:t>
      </w:r>
    </w:p>
    <w:p w14:paraId="73B6CEC7" w14:textId="77777777" w:rsidR="00A45644" w:rsidRPr="00664895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lastRenderedPageBreak/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ésszerűségét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. </w:t>
      </w:r>
    </w:p>
    <w:p w14:paraId="4727AE31" w14:textId="77777777"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Következtetést vonok(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 arról, hogy helyénvaló-e a vezetés részéről a vállalkozás folytatásának elvén alapuló vagyonmérleg-tervezetek összeállítása. A vállalkozás folytatása elvének érvényesülésével kapcsolatos vizsgálataim(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at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 a jogutód társaságra vonatkozóan végeztem(ük) el és a </w:t>
      </w:r>
      <w:r>
        <w:rPr>
          <w:rFonts w:ascii="Times New Roman" w:hAnsi="Times New Roman"/>
          <w:sz w:val="20"/>
          <w:szCs w:val="20"/>
          <w:lang w:val="hu-HU"/>
        </w:rPr>
        <w:t>beolvadás</w:t>
      </w:r>
      <w:r w:rsidRPr="00DD46F2">
        <w:rPr>
          <w:rFonts w:ascii="Times New Roman" w:hAnsi="Times New Roman"/>
          <w:sz w:val="20"/>
          <w:szCs w:val="20"/>
          <w:lang w:val="hu-HU"/>
        </w:rPr>
        <w:t xml:space="preserve"> tervezett napjáig terjesztettem(ük) ki. Amennyiben azt a következtetést vonom(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le, hogy a vezetés részéről nem helytálló a vagyonmérleg-tervezetek elkészítése során a vállalkozás folytatása elvének alkalmazása, abban az esetben ellenvéleményt kell kibocsátanom(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unk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). Következtetéseim(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független könyvvizsgálói jelentésem(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 nem tudja a vállalkozást folytatni.</w:t>
      </w:r>
    </w:p>
    <w:p w14:paraId="5852580E" w14:textId="77777777"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 vagyonmérleg-tervezetek átfogó bemutatását, felépítését és tartalmát, valamint értékelem(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jük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>) azt is, hogy a vagyonmérleg-tervezetekben teljesül-e az alapul szolgáló ügyleteknek és eseményeknek számviteli törvény 136.-141. §-okban foglaltak szerinti bemutatása.</w:t>
      </w:r>
    </w:p>
    <w:p w14:paraId="6A08EB26" w14:textId="77777777" w:rsidR="00A45644" w:rsidRPr="00DD46F2" w:rsidRDefault="00A45644" w:rsidP="00DD46F2">
      <w:pPr>
        <w:numPr>
          <w:ilvl w:val="0"/>
          <w:numId w:val="2"/>
        </w:num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D46F2">
        <w:rPr>
          <w:rFonts w:ascii="Times New Roman" w:hAnsi="Times New Roman"/>
          <w:sz w:val="20"/>
          <w:szCs w:val="20"/>
          <w:lang w:val="hu-HU"/>
        </w:rPr>
        <w:t>Az irányítással megbízott személyek tudomására hozom(</w:t>
      </w:r>
      <w:proofErr w:type="spellStart"/>
      <w:r w:rsidRPr="00DD46F2">
        <w:rPr>
          <w:rFonts w:ascii="Times New Roman" w:hAnsi="Times New Roman"/>
          <w:sz w:val="20"/>
          <w:szCs w:val="20"/>
          <w:lang w:val="hu-HU"/>
        </w:rPr>
        <w:t>zuk</w:t>
      </w:r>
      <w:proofErr w:type="spellEnd"/>
      <w:r w:rsidRPr="00DD46F2">
        <w:rPr>
          <w:rFonts w:ascii="Times New Roman" w:hAnsi="Times New Roman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7331F761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EEC37A0" w14:textId="77777777" w:rsidR="00A45644" w:rsidRPr="00DD46F2" w:rsidRDefault="00A45644" w:rsidP="00DD46F2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</w:pPr>
      <w:r w:rsidRPr="00DD46F2">
        <w:rPr>
          <w:rFonts w:ascii="Times New Roman" w:hAnsi="Times New Roman"/>
          <w:b/>
          <w:bCs/>
          <w:i/>
          <w:iCs/>
          <w:color w:val="000000"/>
          <w:spacing w:val="-4"/>
          <w:kern w:val="8"/>
          <w:sz w:val="24"/>
          <w:szCs w:val="24"/>
          <w:lang w:val="hu-HU" w:bidi="he-IL"/>
        </w:rPr>
        <w:t>Jelentés egyéb jogi és szabályozói követelményekről</w:t>
      </w:r>
    </w:p>
    <w:p w14:paraId="271EEAD7" w14:textId="77777777" w:rsidR="00A45644" w:rsidRPr="00DD46F2" w:rsidRDefault="00A45644" w:rsidP="00DD46F2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6823FB4A" w14:textId="77777777"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Az átalakulási törvény 24. § (4) bekezdése szerint megvizsgáltuk, hogy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milyen módszerekkel határozták meg, a módszerek megfelelőségét, valamint, hogy e módszerek külön-külön milyen értéket eredményeztek, és a </w:t>
      </w:r>
      <w:r>
        <w:rPr>
          <w:spacing w:val="1"/>
          <w:lang w:val="hu-HU"/>
        </w:rPr>
        <w:t>cserearány</w:t>
      </w:r>
      <w:r w:rsidRPr="000D3113">
        <w:rPr>
          <w:spacing w:val="1"/>
          <w:lang w:val="hu-HU"/>
        </w:rPr>
        <w:t xml:space="preserve"> megfelelőségét. Az átalakulási törvény 24. § (5) bekezdése szerint megvizsgáltuk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tervezet</w:t>
      </w:r>
      <w:r>
        <w:rPr>
          <w:spacing w:val="1"/>
          <w:lang w:val="hu-HU"/>
        </w:rPr>
        <w:t>é</w:t>
      </w:r>
      <w:r w:rsidRPr="000D3113">
        <w:rPr>
          <w:spacing w:val="1"/>
          <w:lang w:val="hu-HU"/>
        </w:rPr>
        <w:t xml:space="preserve">ben és a vezető tisztségviselők írásbeli beszámolójában foglaltak megalapozottságát, valamint azt, hogy a tervezett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veszélyezteti-e e részvénytársaságokkal szembeni hitelezői követelések kielégítését.</w:t>
      </w:r>
    </w:p>
    <w:p w14:paraId="476C4722" w14:textId="77777777"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1FF1C9DB" w14:textId="77777777"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</w:t>
      </w:r>
      <w:r>
        <w:rPr>
          <w:spacing w:val="1"/>
          <w:lang w:val="hu-HU"/>
        </w:rPr>
        <w:t>z Egyesülő</w:t>
      </w:r>
      <w:r w:rsidRPr="00D2184F">
        <w:rPr>
          <w:lang w:val="hu-HU"/>
        </w:rPr>
        <w:t xml:space="preserve"> </w:t>
      </w:r>
      <w:r>
        <w:rPr>
          <w:lang w:val="hu-HU"/>
        </w:rPr>
        <w:t>T</w:t>
      </w:r>
      <w:r w:rsidRPr="00D2184F">
        <w:rPr>
          <w:lang w:val="hu-HU"/>
        </w:rPr>
        <w:t>ársaságok</w:t>
      </w:r>
      <w:r w:rsidRPr="000D3113">
        <w:rPr>
          <w:spacing w:val="1"/>
          <w:lang w:val="hu-HU"/>
        </w:rPr>
        <w:t xml:space="preserve"> vezetésének felelőssége, hogy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elkészítésével egyidejűleg írásbeli beszámolót készítsenek, amelyben a jogi és a gazdasági szempontok ismertetésével megindokolják a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szükségességét, valamint meghatár</w:t>
      </w:r>
      <w:r>
        <w:rPr>
          <w:spacing w:val="1"/>
          <w:lang w:val="hu-HU"/>
        </w:rPr>
        <w:t>ozzák a részvények cserearányát</w:t>
      </w:r>
      <w:r w:rsidRPr="000D3113">
        <w:rPr>
          <w:spacing w:val="1"/>
          <w:lang w:val="hu-HU"/>
        </w:rPr>
        <w:t>, tovább</w:t>
      </w:r>
      <w:r>
        <w:rPr>
          <w:spacing w:val="1"/>
          <w:lang w:val="hu-HU"/>
        </w:rPr>
        <w:t>á</w:t>
      </w:r>
      <w:r w:rsidRPr="000D3113">
        <w:rPr>
          <w:spacing w:val="1"/>
          <w:lang w:val="hu-HU"/>
        </w:rPr>
        <w:t xml:space="preserve"> ismertessék az értékelésnél esetlegesen felmerülő különös nehézségeket. </w:t>
      </w:r>
    </w:p>
    <w:p w14:paraId="19D99C9F" w14:textId="77777777"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4C5A2CDE" w14:textId="77777777"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>A mi felelősségünk az átalakulási törvény 24. § (4) és (5) bekezdéseiben foglaltakkal kapcsolatban jelentés tétele.</w:t>
      </w:r>
    </w:p>
    <w:p w14:paraId="3A7827D3" w14:textId="77777777" w:rsidR="00A45644" w:rsidRPr="000D3113" w:rsidRDefault="00A45644" w:rsidP="00DD46F2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2E9CA810" w14:textId="77777777" w:rsidR="00A45644" w:rsidRPr="000D3113" w:rsidRDefault="00A45644" w:rsidP="007513B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 w:rsidRPr="000D3113">
        <w:rPr>
          <w:spacing w:val="1"/>
          <w:lang w:val="hu-HU"/>
        </w:rPr>
        <w:t xml:space="preserve">Véleményünk szerint a </w:t>
      </w:r>
      <w:r>
        <w:rPr>
          <w:spacing w:val="1"/>
          <w:lang w:val="hu-HU"/>
        </w:rPr>
        <w:t>részvények cserearányát</w:t>
      </w:r>
      <w:r w:rsidRPr="000D3113">
        <w:rPr>
          <w:spacing w:val="1"/>
          <w:lang w:val="hu-HU"/>
        </w:rPr>
        <w:t xml:space="preserve"> a részvénytársaság megfelelően </w:t>
      </w:r>
      <w:r>
        <w:rPr>
          <w:spacing w:val="1"/>
          <w:lang w:val="hu-HU"/>
        </w:rPr>
        <w:t xml:space="preserve">/ nem megfelelően </w:t>
      </w:r>
      <w:r w:rsidRPr="000D3113">
        <w:rPr>
          <w:spacing w:val="1"/>
          <w:lang w:val="hu-HU"/>
        </w:rPr>
        <w:t xml:space="preserve">állapította meg. </w:t>
      </w:r>
      <w:r>
        <w:rPr>
          <w:spacing w:val="1"/>
          <w:lang w:val="hu-HU"/>
        </w:rPr>
        <w:t xml:space="preserve">(Ha nem megfelelő, akkor annak indoklása.) </w:t>
      </w:r>
      <w:r w:rsidRPr="000D3113">
        <w:rPr>
          <w:spacing w:val="1"/>
          <w:lang w:val="hu-HU"/>
        </w:rPr>
        <w:t>Az alkalmazott módszerek és az azok alapján megállapított értékek a következők: (A módszerek és a kapott értékek felsorolása.) Álláspontunk szerint a választott módszer tükrözi</w:t>
      </w:r>
      <w:r>
        <w:rPr>
          <w:spacing w:val="1"/>
          <w:lang w:val="hu-HU"/>
        </w:rPr>
        <w:t xml:space="preserve"> / nem tükrözi</w:t>
      </w:r>
      <w:r w:rsidRPr="000D3113">
        <w:rPr>
          <w:spacing w:val="1"/>
          <w:lang w:val="hu-HU"/>
        </w:rPr>
        <w:t xml:space="preserve"> a tényleges értékviszonyokat. </w:t>
      </w:r>
      <w:r>
        <w:rPr>
          <w:spacing w:val="1"/>
          <w:lang w:val="hu-HU"/>
        </w:rPr>
        <w:t xml:space="preserve">(Ha nem tükrözi, annak indoklása.) </w:t>
      </w:r>
      <w:r w:rsidRPr="000D3113">
        <w:rPr>
          <w:spacing w:val="1"/>
          <w:lang w:val="hu-HU"/>
        </w:rPr>
        <w:t>Az értékelés során különös nehézségek nem adódtak / a következő nehézségek adódtak: (Felsorolás az értékelés nehézségeiről.) A</w:t>
      </w:r>
      <w:r>
        <w:rPr>
          <w:spacing w:val="1"/>
          <w:lang w:val="hu-HU"/>
        </w:rPr>
        <w:t>z egyesülési (beolvadási)</w:t>
      </w:r>
      <w:r w:rsidRPr="000D3113">
        <w:rPr>
          <w:spacing w:val="1"/>
          <w:lang w:val="hu-HU"/>
        </w:rPr>
        <w:t xml:space="preserve"> szerződés tervezetében és a vezető tisztségviselők írásbeli beszámolójában foglaltakat megalapozottnak tartjuk / nem tartjuk megalapozottnak. (Amennyiben nem megalapozott, akkor annak indoklása.) Álláspontunk szerint a tervezett </w:t>
      </w:r>
      <w:r>
        <w:rPr>
          <w:spacing w:val="1"/>
          <w:lang w:val="hu-HU"/>
        </w:rPr>
        <w:t>beolvadás</w:t>
      </w:r>
      <w:r w:rsidRPr="000D3113">
        <w:rPr>
          <w:spacing w:val="1"/>
          <w:lang w:val="hu-HU"/>
        </w:rPr>
        <w:t xml:space="preserve"> nem veszélyezteti / veszélyezteti a </w:t>
      </w:r>
      <w:r>
        <w:rPr>
          <w:spacing w:val="1"/>
          <w:lang w:val="hu-HU"/>
        </w:rPr>
        <w:t>beolvadásban</w:t>
      </w:r>
      <w:r w:rsidRPr="000D3113">
        <w:rPr>
          <w:spacing w:val="1"/>
          <w:lang w:val="hu-HU"/>
        </w:rPr>
        <w:t xml:space="preserve"> érintett részvénytársaságokkal szembeni hitelezői követelések kielégítését. (Amennyiben veszélyezteti, akkor ennek indoklása.)”</w:t>
      </w:r>
    </w:p>
    <w:p w14:paraId="4AE8428E" w14:textId="77777777" w:rsidR="00A45644" w:rsidRDefault="00A45644" w:rsidP="00DD46F2">
      <w:pPr>
        <w:keepNext/>
        <w:shd w:val="clear" w:color="auto" w:fill="FFFFFF"/>
        <w:tabs>
          <w:tab w:val="right" w:pos="360"/>
          <w:tab w:val="left" w:pos="576"/>
        </w:tabs>
        <w:spacing w:before="120" w:after="0" w:line="280" w:lineRule="exact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B4E2C22" w14:textId="77777777" w:rsidR="00A45644" w:rsidRPr="003A48B3" w:rsidRDefault="00A4564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10FFF96F" w14:textId="77777777"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6" w:hanging="360"/>
        <w:rPr>
          <w:iCs/>
          <w:spacing w:val="-2"/>
          <w:sz w:val="20"/>
        </w:rPr>
      </w:pPr>
    </w:p>
    <w:p w14:paraId="4710CC13" w14:textId="77777777"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6A71C9F2" w14:textId="77777777"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2A5D28F9" w14:textId="77777777" w:rsidR="00A45644" w:rsidRPr="00D26E33" w:rsidRDefault="00A45644" w:rsidP="00DD46F2">
      <w:pPr>
        <w:pStyle w:val="BodyTextIndentChar"/>
        <w:tabs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52F9AD0D" w14:textId="77777777" w:rsidR="00A45644" w:rsidRPr="00D26E33" w:rsidRDefault="00A4564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4F70A855" w14:textId="77777777" w:rsidR="00A45644" w:rsidRPr="0080033F" w:rsidRDefault="00A45644" w:rsidP="00DD46F2">
      <w:pPr>
        <w:pStyle w:val="BodyTextIndentChar"/>
        <w:tabs>
          <w:tab w:val="left" w:pos="3960"/>
          <w:tab w:val="left" w:pos="4536"/>
        </w:tabs>
        <w:spacing w:after="0" w:line="240" w:lineRule="auto"/>
        <w:ind w:left="374" w:hanging="357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p w14:paraId="2FF6B233" w14:textId="77777777" w:rsidR="00A45644" w:rsidRDefault="00A45644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sectPr w:rsidR="00A45644" w:rsidSect="009C7B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7F907" w14:textId="77777777" w:rsidR="00A45644" w:rsidRDefault="00A45644" w:rsidP="001E2511">
      <w:pPr>
        <w:spacing w:after="0" w:line="240" w:lineRule="auto"/>
      </w:pPr>
      <w:r>
        <w:separator/>
      </w:r>
    </w:p>
  </w:endnote>
  <w:endnote w:type="continuationSeparator" w:id="0">
    <w:p w14:paraId="74119A82" w14:textId="77777777" w:rsidR="00A45644" w:rsidRDefault="00A45644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D3893" w14:textId="77777777" w:rsidR="00A45644" w:rsidRDefault="00FA7D9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A45644" w:rsidRPr="00FD2D7B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75502E13" w14:textId="77777777" w:rsidR="00A45644" w:rsidRDefault="00A4564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F28E5" w14:textId="77777777" w:rsidR="00A45644" w:rsidRDefault="00A45644" w:rsidP="001E2511">
      <w:pPr>
        <w:spacing w:after="0" w:line="240" w:lineRule="auto"/>
      </w:pPr>
      <w:r>
        <w:separator/>
      </w:r>
    </w:p>
  </w:footnote>
  <w:footnote w:type="continuationSeparator" w:id="0">
    <w:p w14:paraId="3D2789EA" w14:textId="77777777" w:rsidR="00A45644" w:rsidRDefault="00A45644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825FE"/>
    <w:multiLevelType w:val="hybridMultilevel"/>
    <w:tmpl w:val="72188A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648D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C19F3"/>
    <w:rsid w:val="001E2511"/>
    <w:rsid w:val="001F4991"/>
    <w:rsid w:val="00203A97"/>
    <w:rsid w:val="0021325E"/>
    <w:rsid w:val="00223731"/>
    <w:rsid w:val="00223F8B"/>
    <w:rsid w:val="0024017A"/>
    <w:rsid w:val="00247292"/>
    <w:rsid w:val="0027581F"/>
    <w:rsid w:val="00292B45"/>
    <w:rsid w:val="002A38FE"/>
    <w:rsid w:val="002C520A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DA3"/>
    <w:rsid w:val="004005B8"/>
    <w:rsid w:val="004024A0"/>
    <w:rsid w:val="00414BBB"/>
    <w:rsid w:val="004162C5"/>
    <w:rsid w:val="004445AE"/>
    <w:rsid w:val="00452CD9"/>
    <w:rsid w:val="004779ED"/>
    <w:rsid w:val="00487ABB"/>
    <w:rsid w:val="00492F3E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64895"/>
    <w:rsid w:val="006748A6"/>
    <w:rsid w:val="00676200"/>
    <w:rsid w:val="00687B5C"/>
    <w:rsid w:val="006921F5"/>
    <w:rsid w:val="006D5256"/>
    <w:rsid w:val="006F0FF0"/>
    <w:rsid w:val="00710685"/>
    <w:rsid w:val="00715F72"/>
    <w:rsid w:val="007312ED"/>
    <w:rsid w:val="00733A4B"/>
    <w:rsid w:val="00735B49"/>
    <w:rsid w:val="0073612A"/>
    <w:rsid w:val="00736F2A"/>
    <w:rsid w:val="00743D82"/>
    <w:rsid w:val="007513BC"/>
    <w:rsid w:val="00762D01"/>
    <w:rsid w:val="00762DC1"/>
    <w:rsid w:val="00762F67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91C49"/>
    <w:rsid w:val="008A1CEC"/>
    <w:rsid w:val="008D71BF"/>
    <w:rsid w:val="008F4ADF"/>
    <w:rsid w:val="00901813"/>
    <w:rsid w:val="00901CA8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A7A13"/>
    <w:rsid w:val="009B141F"/>
    <w:rsid w:val="009B3DCD"/>
    <w:rsid w:val="009B4158"/>
    <w:rsid w:val="009C132D"/>
    <w:rsid w:val="009C53AD"/>
    <w:rsid w:val="009C7B8F"/>
    <w:rsid w:val="009D2470"/>
    <w:rsid w:val="009E0C97"/>
    <w:rsid w:val="009E2855"/>
    <w:rsid w:val="009F04DA"/>
    <w:rsid w:val="00A17108"/>
    <w:rsid w:val="00A22ADE"/>
    <w:rsid w:val="00A23C48"/>
    <w:rsid w:val="00A34EB6"/>
    <w:rsid w:val="00A45644"/>
    <w:rsid w:val="00A4635B"/>
    <w:rsid w:val="00A46E1F"/>
    <w:rsid w:val="00A56059"/>
    <w:rsid w:val="00A67435"/>
    <w:rsid w:val="00A9171A"/>
    <w:rsid w:val="00AB0BFB"/>
    <w:rsid w:val="00AB24B0"/>
    <w:rsid w:val="00AB40E1"/>
    <w:rsid w:val="00AF33FA"/>
    <w:rsid w:val="00AF609B"/>
    <w:rsid w:val="00B34403"/>
    <w:rsid w:val="00B35DB0"/>
    <w:rsid w:val="00B40AF0"/>
    <w:rsid w:val="00B40B61"/>
    <w:rsid w:val="00B45C6E"/>
    <w:rsid w:val="00B513E0"/>
    <w:rsid w:val="00B617E1"/>
    <w:rsid w:val="00B63106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46F2"/>
    <w:rsid w:val="00DE1C94"/>
    <w:rsid w:val="00DF3B46"/>
    <w:rsid w:val="00E06CF1"/>
    <w:rsid w:val="00E118F2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186D"/>
    <w:rsid w:val="00F36C29"/>
    <w:rsid w:val="00F5435B"/>
    <w:rsid w:val="00F5650D"/>
    <w:rsid w:val="00F66522"/>
    <w:rsid w:val="00F8047E"/>
    <w:rsid w:val="00FA1D94"/>
    <w:rsid w:val="00FA245B"/>
    <w:rsid w:val="00FA4697"/>
    <w:rsid w:val="00FA7D96"/>
    <w:rsid w:val="00FD2D7B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440C39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customStyle="1" w:styleId="BodyTextIndentChar">
    <w:name w:val="Body Text Indent Char"/>
    <w:basedOn w:val="Norml"/>
    <w:link w:val="BodyTextIndentChar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Char">
    <w:name w:val="Body Text Indent Char Char"/>
    <w:basedOn w:val="Bekezdsalapbettpusa"/>
    <w:link w:val="BodyTextIndentChar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946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1534</Words>
  <Characters>10588</Characters>
  <Application>Microsoft Office Word</Application>
  <DocSecurity>0</DocSecurity>
  <Lines>88</Lines>
  <Paragraphs>24</Paragraphs>
  <ScaleCrop>false</ScaleCrop>
  <Company>Microsoft</Company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2018-03-26T07:42:00Z</dcterms:created>
  <dcterms:modified xsi:type="dcterms:W3CDTF">2021-01-13T15:45:00Z</dcterms:modified>
</cp:coreProperties>
</file>