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5D32A" w14:textId="77777777" w:rsidR="003E4AC9" w:rsidRDefault="003E4AC9" w:rsidP="00923CB5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5/</w:t>
      </w:r>
      <w:proofErr w:type="spellStart"/>
      <w:r>
        <w:rPr>
          <w:sz w:val="20"/>
          <w:lang w:val="hu-HU"/>
        </w:rPr>
        <w:t>b.</w:t>
      </w:r>
      <w:proofErr w:type="spellEnd"/>
      <w:r>
        <w:rPr>
          <w:sz w:val="20"/>
          <w:lang w:val="hu-HU"/>
        </w:rPr>
        <w:t xml:space="preserve"> sz. melléklet:</w:t>
      </w:r>
    </w:p>
    <w:p w14:paraId="3A72D6BD" w14:textId="77777777" w:rsidR="003E4AC9" w:rsidRDefault="003E4AC9" w:rsidP="00923CB5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különválási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 különválás során létrejövő társaságnál, mint jogutódnál </w:t>
      </w:r>
      <w:r w:rsidRPr="004024A0">
        <w:rPr>
          <w:sz w:val="20"/>
          <w:lang w:val="hu-HU"/>
        </w:rPr>
        <w:t>(nincs melléklet)</w:t>
      </w:r>
    </w:p>
    <w:p w14:paraId="62A4DA63" w14:textId="77777777" w:rsidR="003E4AC9" w:rsidRDefault="003E4AC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695AFDFA" w14:textId="77777777" w:rsidR="003E4AC9" w:rsidRDefault="003E4AC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62CE3CE1" w14:textId="77777777" w:rsidR="003E4AC9" w:rsidRPr="00D26E33" w:rsidRDefault="003E4A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1D027482" w14:textId="77777777" w:rsidR="003E4AC9" w:rsidRDefault="003E4A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023C60DE" w14:textId="77777777" w:rsidR="003E4AC9" w:rsidRPr="00D2184F" w:rsidRDefault="003E4AC9" w:rsidP="00923CB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Különválással létrejöv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>ő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615CDC9E" w14:textId="77777777" w:rsidR="003E4AC9" w:rsidRDefault="003E4AC9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14:paraId="42888D8A" w14:textId="77777777" w:rsidR="003E4AC9" w:rsidRPr="00D2184F" w:rsidRDefault="003E4AC9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0BAAC672" w14:textId="77777777" w:rsidR="003E4AC9" w:rsidRDefault="003E4AC9" w:rsidP="00CD6D40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318BB8B0" w14:textId="651771FD" w:rsidR="003E4AC9" w:rsidRDefault="003E4AC9" w:rsidP="00923CB5">
      <w:pPr>
        <w:pStyle w:val="Szvegtrzs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Különválással létrejöv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>ő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>, mint a</w:t>
      </w:r>
      <w:r>
        <w:rPr>
          <w:rFonts w:ascii="Times New Roman" w:hAnsi="Times New Roman"/>
          <w:sz w:val="20"/>
          <w:lang w:val="hu-HU"/>
        </w:rPr>
        <w:t xml:space="preserve"> különválás</w:t>
      </w:r>
      <w:r w:rsidRPr="00322128">
        <w:rPr>
          <w:rFonts w:ascii="Times New Roman" w:hAnsi="Times New Roman"/>
          <w:sz w:val="20"/>
          <w:lang w:val="hu-HU"/>
        </w:rPr>
        <w:t xml:space="preserve"> után </w:t>
      </w:r>
      <w:r>
        <w:rPr>
          <w:rFonts w:ascii="Times New Roman" w:hAnsi="Times New Roman"/>
          <w:sz w:val="20"/>
          <w:lang w:val="hu-HU"/>
        </w:rPr>
        <w:t>létrejövő</w:t>
      </w:r>
      <w:r w:rsidRPr="00322128">
        <w:rPr>
          <w:rFonts w:ascii="Times New Roman" w:hAnsi="Times New Roman"/>
          <w:sz w:val="20"/>
          <w:lang w:val="hu-HU"/>
        </w:rPr>
        <w:t xml:space="preserve"> 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jogutód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különválás</w:t>
      </w:r>
      <w:r w:rsidRPr="00CD6D40">
        <w:rPr>
          <w:rFonts w:ascii="Times New Roman" w:hAnsi="Times New Roman"/>
          <w:sz w:val="20"/>
          <w:lang w:val="hu-HU"/>
        </w:rPr>
        <w:t xml:space="preserve"> utáni tervezett vagyoni helyzetét bemutató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4D7EEC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>
        <w:rPr>
          <w:rFonts w:ascii="Times New Roman" w:hAnsi="Times New Roman"/>
          <w:sz w:val="20"/>
          <w:lang w:val="hu-HU"/>
        </w:rPr>
        <w:t xml:space="preserve">vonatkozó </w:t>
      </w:r>
      <w:r w:rsidRPr="00322128">
        <w:rPr>
          <w:rFonts w:ascii="Times New Roman" w:hAnsi="Times New Roman"/>
          <w:sz w:val="20"/>
          <w:lang w:val="hu-HU"/>
        </w:rPr>
        <w:t>vagyonmérleg-tervezeté</w:t>
      </w:r>
      <w:r>
        <w:rPr>
          <w:rFonts w:ascii="Times New Roman" w:hAnsi="Times New Roman"/>
          <w:sz w:val="20"/>
          <w:lang w:val="hu-HU"/>
        </w:rPr>
        <w:t>nek és vagyonleltár-tervezetének (a továbbiakban együtt: vagyonmérleg-tervezet) könyvvizsgálatá</w:t>
      </w:r>
      <w:r w:rsidRPr="00322128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14:paraId="58391765" w14:textId="77777777" w:rsidR="003E4AC9" w:rsidRDefault="003E4A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21436744" w14:textId="77777777" w:rsidR="003E4AC9" w:rsidRPr="00D2184F" w:rsidRDefault="003E4A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31DD72EC" w14:textId="77777777" w:rsidR="003E4AC9" w:rsidRPr="00D2184F" w:rsidRDefault="003E4A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78E8BB2" w14:textId="067A5839" w:rsidR="003E4AC9" w:rsidRDefault="003E4AC9" w:rsidP="00923CB5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jogutód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4D7EEC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5291FBD6" w14:textId="77777777" w:rsidR="003E4AC9" w:rsidRPr="002E3ADC" w:rsidRDefault="003E4AC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5772838" w14:textId="77777777" w:rsidR="003E4AC9" w:rsidRPr="00D26E33" w:rsidRDefault="003E4AC9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074EC044" w14:textId="77777777" w:rsidR="003E4AC9" w:rsidRDefault="003E4A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332B4F6" w14:textId="77777777" w:rsidR="003E4AC9" w:rsidRDefault="003E4AC9" w:rsidP="00F909DB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7B552D69" w14:textId="77777777" w:rsidR="003E4AC9" w:rsidRPr="00D26E33" w:rsidRDefault="003E4A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0DBC12A7" w14:textId="7124D983" w:rsidR="003E4AC9" w:rsidRDefault="003E4AC9" w:rsidP="008D306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4D7EEC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4D7EEC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4D7EEC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4D7EEC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4D7EEC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03244DBD" w14:textId="77777777" w:rsidR="003E4AC9" w:rsidRPr="00CD0C83" w:rsidRDefault="003E4A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22C70090" w14:textId="77777777" w:rsidR="003E4AC9" w:rsidRDefault="003E4A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476D50EF" w14:textId="77777777" w:rsidR="003E4AC9" w:rsidRDefault="003E4AC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47C6A948" w14:textId="77777777" w:rsidR="003E4AC9" w:rsidRPr="00D81BE9" w:rsidRDefault="003E4AC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2B58FB6F" w14:textId="77777777" w:rsidR="003E4AC9" w:rsidRDefault="003E4AC9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FB2A7B8" w14:textId="77777777" w:rsidR="003E4AC9" w:rsidRPr="00D81BE9" w:rsidRDefault="003E4AC9" w:rsidP="00BA3A5C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53D901E1" w14:textId="77777777" w:rsidR="003E4AC9" w:rsidRPr="00D26E33" w:rsidRDefault="003E4AC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4729EBE1" w14:textId="77777777" w:rsidR="003E4AC9" w:rsidRPr="003D1DA3" w:rsidRDefault="003E4AC9" w:rsidP="00923CB5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szétválási (különválási)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14:paraId="2E4AFA18" w14:textId="77777777" w:rsidR="003E4AC9" w:rsidRDefault="003E4AC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D693F04" w14:textId="77777777" w:rsidR="003E4AC9" w:rsidRDefault="003E4AC9" w:rsidP="00923CB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és az azt alátámasztó vagyonleltár-tervezet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kivételével, az átalakulási törvény 3. §-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ában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 meghatározott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tervet foglalják magukban.  A független könyvvizsgálói jelentésem(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„Vélemény” szakaszában a vagyonmérleg-tervezetre adott könyvvizsgálói véleményem(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) nem vonatkozik a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14:paraId="19A33D32" w14:textId="77777777" w:rsidR="003E4AC9" w:rsidRPr="003D1DA3" w:rsidRDefault="003E4AC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66F583E" w14:textId="77777777" w:rsidR="003E4AC9" w:rsidRDefault="003E4AC9" w:rsidP="00923CB5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végzett könyvvizsgálatával kapcsolatban az én (a mi) felelősségem(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a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annak mérlegelése, hogy a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nek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, </w:t>
      </w:r>
      <w:r w:rsidRPr="003D1DA3">
        <w:rPr>
          <w:rFonts w:ascii="Times New Roman" w:hAnsi="Times New Roman"/>
          <w:sz w:val="20"/>
          <w:szCs w:val="20"/>
          <w:lang w:val="hu-HU"/>
        </w:rPr>
        <w:lastRenderedPageBreak/>
        <w:t xml:space="preserve">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alapján arra a következtetésre jutok(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(különválási)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).</w:t>
      </w:r>
    </w:p>
    <w:p w14:paraId="18991B64" w14:textId="77777777" w:rsidR="003E4AC9" w:rsidRPr="003D1DA3" w:rsidRDefault="003E4AC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4BC8F23" w14:textId="77777777" w:rsidR="003E4AC9" w:rsidRPr="00D26E33" w:rsidRDefault="003E4AC9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10CC1A51" w14:textId="77777777" w:rsidR="003E4AC9" w:rsidRDefault="003E4AC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011A5EC9" w14:textId="77777777" w:rsidR="003E4AC9" w:rsidRDefault="003E4AC9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14:paraId="6BB2F1D3" w14:textId="77777777" w:rsidR="003E4AC9" w:rsidRPr="00DD46F2" w:rsidRDefault="003E4AC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AF41D52" w14:textId="77777777" w:rsidR="003E4AC9" w:rsidRDefault="003E4AC9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14:paraId="1215A6F0" w14:textId="77777777" w:rsidR="003E4AC9" w:rsidRPr="00DD46F2" w:rsidRDefault="003E4AC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3B1F7FD" w14:textId="77777777" w:rsidR="003E4AC9" w:rsidRPr="00DD46F2" w:rsidRDefault="003E4AC9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jogutód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14:paraId="3D838498" w14:textId="77777777" w:rsidR="003E4AC9" w:rsidRPr="00DD46F2" w:rsidRDefault="003E4AC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9829355" w14:textId="77777777" w:rsidR="003E4AC9" w:rsidRPr="00DD46F2" w:rsidRDefault="003E4AC9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14:paraId="215B1519" w14:textId="77777777" w:rsidR="003E4AC9" w:rsidRDefault="003E4AC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E45253E" w14:textId="77777777" w:rsidR="003E4AC9" w:rsidRPr="00DD46F2" w:rsidRDefault="003E4AC9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könyvvizsgálat során célom(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ünket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tartalmazó független könyvvizsgálói jelentést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bocsássak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sunk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14:paraId="7DB28819" w14:textId="77777777" w:rsidR="003E4AC9" w:rsidRDefault="003E4AC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51C1959" w14:textId="77777777" w:rsidR="003E4AC9" w:rsidRPr="00DD46F2" w:rsidRDefault="003E4AC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Magyar Nemzeti Könyvvizsgálati Standardok szerinti könyvvizsgálat egésze során szakmai megítélést alkalmazok(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szakmai szkepticizmust tartok(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fenn. </w:t>
      </w:r>
    </w:p>
    <w:p w14:paraId="62054552" w14:textId="77777777" w:rsidR="003E4AC9" w:rsidRPr="00DD46F2" w:rsidRDefault="003E4AC9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14:paraId="7F413A65" w14:textId="77777777" w:rsidR="003E4AC9" w:rsidRPr="00DD46F2" w:rsidRDefault="003E4AC9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felmérem(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 akár csalásból, akár hibából eredő lényeges hibás állításainak a kockázatait, kialakítom(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végrehajtom(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véleményem(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046A2C35" w14:textId="77777777" w:rsidR="003E4AC9" w:rsidRPr="00D26E33" w:rsidRDefault="003E4AC9" w:rsidP="008F14C7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>Megismerem(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 xml:space="preserve">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tá</w:t>
      </w:r>
      <w:r w:rsidRPr="00D26E33">
        <w:rPr>
          <w:rFonts w:ascii="Times New Roman" w:hAnsi="Times New Roman"/>
          <w:sz w:val="20"/>
          <w:szCs w:val="20"/>
          <w:lang w:val="hu-HU"/>
        </w:rPr>
        <w:t>rsaság belső kontrolljának hatékonyságára vonatkozóan véleményt nyilvánítsak(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).</w:t>
      </w:r>
    </w:p>
    <w:p w14:paraId="782E95F0" w14:textId="77777777" w:rsidR="003E4AC9" w:rsidRPr="00664895" w:rsidRDefault="003E4AC9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ésszerűségét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. </w:t>
      </w:r>
    </w:p>
    <w:p w14:paraId="2E3B0A3B" w14:textId="77777777" w:rsidR="003E4AC9" w:rsidRPr="00DD46F2" w:rsidRDefault="003E4AC9" w:rsidP="00923CB5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Következtetést vonok(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le arról, hogy helyénvaló-e a vezetés részéről a vállalkozás folytatásának elvén alapuló vagyonmérleg-tervezet összeállítása. A vállalkozás folytatása elvének érvényesülésével kapcsolatos vizsgálataim(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at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 a jogutód társaságra vonatkozóan végeztem(ük) el és a</w:t>
      </w:r>
      <w:r>
        <w:rPr>
          <w:rFonts w:ascii="Times New Roman" w:hAnsi="Times New Roman"/>
          <w:sz w:val="20"/>
          <w:szCs w:val="20"/>
          <w:lang w:val="hu-HU"/>
        </w:rPr>
        <w:t xml:space="preserve"> különválás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le, hogy a vezetés részéről nem helytálló a vagyonmérleg-tervezet elkészítése során a vállalkozás folytatása elvének alkalmazása, abban az esetben ellenvéleményt kell kibocsátanom(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). Következtetéseim(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független könyvvizsgálói jelentésem(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DD46F2">
        <w:rPr>
          <w:rFonts w:ascii="Times New Roman" w:hAnsi="Times New Roman"/>
          <w:sz w:val="20"/>
          <w:szCs w:val="20"/>
          <w:lang w:val="hu-HU"/>
        </w:rPr>
        <w:t>jogutód társaság nem tudja a vállalkozást folytatni.</w:t>
      </w:r>
    </w:p>
    <w:p w14:paraId="2A043E98" w14:textId="77777777" w:rsidR="003E4AC9" w:rsidRPr="00DD46F2" w:rsidRDefault="003E4AC9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 átfogó bemutatását, felépítését és tartalmát, valamint 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azt is, hogy a vagyonmérleg-tervezetben teljesül-e az alapul szolgáló ügyleteknek és eseményeknek számviteli törvény 136.-141. §-okban foglaltak szerinti bemutatása.</w:t>
      </w:r>
    </w:p>
    <w:p w14:paraId="7FE219CB" w14:textId="77777777" w:rsidR="003E4AC9" w:rsidRPr="00DD46F2" w:rsidRDefault="003E4AC9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lastRenderedPageBreak/>
        <w:t>Az irányítással megbízott személyek tudomására hozom(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zuk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20047304" w14:textId="77777777" w:rsidR="003E4AC9" w:rsidRDefault="003E4AC9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65BD1414" w14:textId="77777777" w:rsidR="003E4AC9" w:rsidRPr="003A48B3" w:rsidRDefault="003E4AC9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21B822E0" w14:textId="77777777" w:rsidR="003E4AC9" w:rsidRPr="00D26E33" w:rsidRDefault="003E4AC9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14:paraId="301EBC86" w14:textId="77777777" w:rsidR="003E4AC9" w:rsidRPr="00D26E33" w:rsidRDefault="003E4AC9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26332FA8" w14:textId="77777777" w:rsidR="003E4AC9" w:rsidRPr="00D26E33" w:rsidRDefault="003E4AC9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14B804BE" w14:textId="77777777" w:rsidR="003E4AC9" w:rsidRPr="00D26E33" w:rsidRDefault="003E4AC9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729AB627" w14:textId="77777777" w:rsidR="003E4AC9" w:rsidRPr="00D26E33" w:rsidRDefault="003E4AC9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344ADACC" w14:textId="77777777" w:rsidR="003E4AC9" w:rsidRPr="0080033F" w:rsidRDefault="003E4AC9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14:paraId="36B89BDA" w14:textId="77777777" w:rsidR="003E4AC9" w:rsidRDefault="003E4AC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3E4AC9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F5197" w14:textId="77777777" w:rsidR="003E4AC9" w:rsidRDefault="003E4AC9" w:rsidP="001E2511">
      <w:pPr>
        <w:spacing w:after="0" w:line="240" w:lineRule="auto"/>
      </w:pPr>
      <w:r>
        <w:separator/>
      </w:r>
    </w:p>
  </w:endnote>
  <w:endnote w:type="continuationSeparator" w:id="0">
    <w:p w14:paraId="7E9C357D" w14:textId="77777777" w:rsidR="003E4AC9" w:rsidRDefault="003E4AC9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25F17" w14:textId="77777777" w:rsidR="003E4AC9" w:rsidRDefault="004D7EEC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3E4AC9" w:rsidRPr="00BA3A5C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3FF6E034" w14:textId="77777777" w:rsidR="003E4AC9" w:rsidRDefault="003E4AC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3FC892" w14:textId="77777777" w:rsidR="003E4AC9" w:rsidRDefault="003E4AC9" w:rsidP="001E2511">
      <w:pPr>
        <w:spacing w:after="0" w:line="240" w:lineRule="auto"/>
      </w:pPr>
      <w:r>
        <w:separator/>
      </w:r>
    </w:p>
  </w:footnote>
  <w:footnote w:type="continuationSeparator" w:id="0">
    <w:p w14:paraId="5A1E63AB" w14:textId="77777777" w:rsidR="003E4AC9" w:rsidRDefault="003E4AC9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648D"/>
    <w:rsid w:val="000133A0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A69CA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198C"/>
    <w:rsid w:val="00203A97"/>
    <w:rsid w:val="002072C1"/>
    <w:rsid w:val="0021325E"/>
    <w:rsid w:val="00223731"/>
    <w:rsid w:val="0024017A"/>
    <w:rsid w:val="00247292"/>
    <w:rsid w:val="00262DB4"/>
    <w:rsid w:val="0027581F"/>
    <w:rsid w:val="00292B45"/>
    <w:rsid w:val="002A38FE"/>
    <w:rsid w:val="002C520A"/>
    <w:rsid w:val="002E019D"/>
    <w:rsid w:val="002E3ADC"/>
    <w:rsid w:val="002F0D7F"/>
    <w:rsid w:val="002F1B0A"/>
    <w:rsid w:val="002F5F51"/>
    <w:rsid w:val="002F72C7"/>
    <w:rsid w:val="002F79B7"/>
    <w:rsid w:val="00322128"/>
    <w:rsid w:val="0032557C"/>
    <w:rsid w:val="00344CDA"/>
    <w:rsid w:val="00347176"/>
    <w:rsid w:val="003577B5"/>
    <w:rsid w:val="0036040D"/>
    <w:rsid w:val="00360E5D"/>
    <w:rsid w:val="00383C8A"/>
    <w:rsid w:val="003A20C2"/>
    <w:rsid w:val="003A48B3"/>
    <w:rsid w:val="003D1DA3"/>
    <w:rsid w:val="003E4AC9"/>
    <w:rsid w:val="004005B8"/>
    <w:rsid w:val="004024A0"/>
    <w:rsid w:val="00414BBB"/>
    <w:rsid w:val="004445AE"/>
    <w:rsid w:val="00452CD9"/>
    <w:rsid w:val="004779ED"/>
    <w:rsid w:val="00480C90"/>
    <w:rsid w:val="00487ABB"/>
    <w:rsid w:val="004A4B47"/>
    <w:rsid w:val="004B0755"/>
    <w:rsid w:val="004C5F47"/>
    <w:rsid w:val="004D7EEC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D3281"/>
    <w:rsid w:val="005E3F44"/>
    <w:rsid w:val="0060024F"/>
    <w:rsid w:val="006020A3"/>
    <w:rsid w:val="00621C8B"/>
    <w:rsid w:val="00624A9E"/>
    <w:rsid w:val="006318D4"/>
    <w:rsid w:val="00632012"/>
    <w:rsid w:val="00643F4C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3AE3"/>
    <w:rsid w:val="00764D30"/>
    <w:rsid w:val="00780171"/>
    <w:rsid w:val="00784D8E"/>
    <w:rsid w:val="007B5B28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306C"/>
    <w:rsid w:val="008D71BF"/>
    <w:rsid w:val="008F14C7"/>
    <w:rsid w:val="008F4ADF"/>
    <w:rsid w:val="00901813"/>
    <w:rsid w:val="00903E3D"/>
    <w:rsid w:val="0091782A"/>
    <w:rsid w:val="00923CB5"/>
    <w:rsid w:val="00933324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A3A5C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2C39"/>
    <w:rsid w:val="00C83135"/>
    <w:rsid w:val="00C87A9C"/>
    <w:rsid w:val="00CC2A2F"/>
    <w:rsid w:val="00CD0C83"/>
    <w:rsid w:val="00CD3D28"/>
    <w:rsid w:val="00CD6D40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A4AC0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087C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56C8"/>
    <w:rsid w:val="00F8047E"/>
    <w:rsid w:val="00F909DB"/>
    <w:rsid w:val="00FA1D94"/>
    <w:rsid w:val="00FA245B"/>
    <w:rsid w:val="00FA4697"/>
    <w:rsid w:val="00FE486C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DED6D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Bekezdsalapbettpusa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867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1131</Words>
  <Characters>7809</Characters>
  <Application>Microsoft Office Word</Application>
  <DocSecurity>0</DocSecurity>
  <Lines>65</Lines>
  <Paragraphs>17</Paragraphs>
  <ScaleCrop>false</ScaleCrop>
  <Company>Microsoft</Company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5</cp:revision>
  <dcterms:created xsi:type="dcterms:W3CDTF">2018-03-26T10:52:00Z</dcterms:created>
  <dcterms:modified xsi:type="dcterms:W3CDTF">2021-01-13T16:00:00Z</dcterms:modified>
</cp:coreProperties>
</file>