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918AE" w14:textId="77777777" w:rsidR="001C755E" w:rsidRDefault="001C755E" w:rsidP="002B4176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1. sz. melléklet:</w:t>
      </w:r>
    </w:p>
    <w:p w14:paraId="7D247A0A" w14:textId="77777777" w:rsidR="001C755E" w:rsidRPr="004024A0" w:rsidRDefault="001C755E" w:rsidP="002B4176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az </w:t>
      </w:r>
      <w:r>
        <w:rPr>
          <w:sz w:val="20"/>
          <w:lang w:val="hu-HU"/>
        </w:rPr>
        <w:t>átalakulási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</w:p>
    <w:p w14:paraId="7B6ABFA0" w14:textId="77777777" w:rsidR="001C755E" w:rsidRDefault="001C755E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14:paraId="49464FD7" w14:textId="77777777" w:rsidR="001C755E" w:rsidRDefault="001C755E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2971C88B" w14:textId="77777777" w:rsidR="001C755E" w:rsidRDefault="001C755E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0D274362" w14:textId="77777777" w:rsidR="001C755E" w:rsidRPr="00D26E33" w:rsidRDefault="001C755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3650B3A2" w14:textId="77777777" w:rsidR="001C755E" w:rsidRPr="00D26E33" w:rsidRDefault="001C755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51082E0F" w14:textId="77777777" w:rsidR="001C755E" w:rsidRPr="00D2184F" w:rsidRDefault="001C755E" w:rsidP="002B417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átalakulásban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</w:t>
      </w:r>
      <w:proofErr w:type="gramStart"/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41DBD7FB" w14:textId="77777777" w:rsidR="001C755E" w:rsidRDefault="001C755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29F98C8E" w14:textId="77777777" w:rsidR="001C755E" w:rsidRPr="00D2184F" w:rsidRDefault="001C755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6591EB4A" w14:textId="77777777" w:rsidR="001C755E" w:rsidRDefault="001C755E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29FC6F91" w14:textId="419FB599" w:rsidR="001C755E" w:rsidRPr="00D2184F" w:rsidRDefault="001C755E" w:rsidP="002B4176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tervezett </w:t>
      </w:r>
      <w:r>
        <w:rPr>
          <w:rFonts w:ascii="Times New Roman" w:hAnsi="Times New Roman"/>
          <w:sz w:val="20"/>
          <w:lang w:val="hu-HU"/>
        </w:rPr>
        <w:t>átalakulásával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20X</w:t>
      </w:r>
      <w:r w:rsidR="003B1D64">
        <w:rPr>
          <w:rFonts w:ascii="Times New Roman" w:hAnsi="Times New Roman"/>
          <w:color w:val="FF0000"/>
          <w:sz w:val="20"/>
          <w:lang w:val="hu-HU"/>
        </w:rPr>
        <w:t>1</w:t>
      </w:r>
      <w:r>
        <w:rPr>
          <w:rFonts w:ascii="Times New Roman" w:hAnsi="Times New Roman"/>
          <w:color w:val="FF0000"/>
          <w:sz w:val="20"/>
          <w:lang w:val="hu-HU"/>
        </w:rPr>
        <w:t>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</w:t>
      </w:r>
      <w:proofErr w:type="spellStart"/>
      <w:r w:rsidRPr="00D2184F">
        <w:rPr>
          <w:rFonts w:ascii="Times New Roman" w:hAnsi="Times New Roman"/>
          <w:color w:val="FF0000"/>
          <w:sz w:val="20"/>
          <w:lang w:val="hu-HU"/>
        </w:rPr>
        <w:t>xxxx</w:t>
      </w:r>
      <w:proofErr w:type="spellEnd"/>
      <w:r w:rsidRPr="00D2184F">
        <w:rPr>
          <w:rFonts w:ascii="Times New Roman" w:hAnsi="Times New Roman"/>
          <w:color w:val="FF0000"/>
          <w:sz w:val="20"/>
          <w:lang w:val="hu-HU"/>
        </w:rPr>
        <w:t xml:space="preserve">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átalakulási</w:t>
      </w:r>
      <w:r w:rsidRPr="00D2184F">
        <w:rPr>
          <w:rFonts w:ascii="Times New Roman" w:hAnsi="Times New Roman"/>
          <w:sz w:val="20"/>
          <w:lang w:val="hu-HU"/>
        </w:rPr>
        <w:t xml:space="preserve"> vagyonmérleg-tervezetek és vagyonleltár-tervezetek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„vagyonmérleg-tervezet” vagy </w:t>
      </w:r>
      <w:r w:rsidRPr="00D2184F">
        <w:rPr>
          <w:rFonts w:ascii="Times New Roman" w:hAnsi="Times New Roman"/>
          <w:sz w:val="20"/>
          <w:lang w:val="hu-HU"/>
        </w:rPr>
        <w:t>„vagyonmérleg-tervezetek”) könyvvizsgálatát, amelynek során megvizsgáltuk:</w:t>
      </w:r>
    </w:p>
    <w:p w14:paraId="5450E6EA" w14:textId="77777777" w:rsidR="001C755E" w:rsidRPr="00D2184F" w:rsidRDefault="001C755E" w:rsidP="002B4176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alakuló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az </w:t>
      </w:r>
      <w:r>
        <w:rPr>
          <w:rFonts w:ascii="Times New Roman" w:hAnsi="Times New Roman" w:cs="Times New Roman"/>
          <w:sz w:val="20"/>
          <w:szCs w:val="20"/>
        </w:rPr>
        <w:t>átalakulás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jogelőd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 xml:space="preserve"> társaság”)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az </w:t>
      </w:r>
      <w:r>
        <w:rPr>
          <w:rFonts w:ascii="Times New Roman" w:hAnsi="Times New Roman" w:cs="Times New Roman"/>
          <w:sz w:val="20"/>
          <w:szCs w:val="20"/>
        </w:rPr>
        <w:t>átalakulás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előtti állapotra vonatkozó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14:paraId="3EB785A9" w14:textId="77777777" w:rsidR="001C755E" w:rsidRPr="00D2184F" w:rsidRDefault="001C755E" w:rsidP="002B4176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a(az)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alakulással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], </w:t>
      </w:r>
      <w:r w:rsidRPr="00D2184F">
        <w:rPr>
          <w:rFonts w:ascii="Times New Roman" w:hAnsi="Times New Roman" w:cs="Times New Roman"/>
          <w:sz w:val="20"/>
          <w:szCs w:val="20"/>
        </w:rPr>
        <w:t xml:space="preserve">mint az </w:t>
      </w:r>
      <w:r>
        <w:rPr>
          <w:rFonts w:ascii="Times New Roman" w:hAnsi="Times New Roman" w:cs="Times New Roman"/>
          <w:sz w:val="20"/>
          <w:szCs w:val="20"/>
        </w:rPr>
        <w:t>átalakulással 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(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D2184F">
        <w:rPr>
          <w:rFonts w:ascii="Times New Roman" w:hAnsi="Times New Roman" w:cs="Times New Roman"/>
          <w:sz w:val="20"/>
          <w:szCs w:val="20"/>
        </w:rPr>
        <w:t>jogutód társaság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D2184F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átalakulás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utáni tervezett vagyoni helyzetét bemutató</w:t>
      </w:r>
      <w:r w:rsidRPr="00D2184F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.</w:t>
      </w:r>
    </w:p>
    <w:p w14:paraId="218F7864" w14:textId="77777777" w:rsidR="001C755E" w:rsidRPr="00D2184F" w:rsidRDefault="001C755E" w:rsidP="002B4176">
      <w:pPr>
        <w:pStyle w:val="Szvegtrzs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Az </w:t>
      </w:r>
      <w:r>
        <w:rPr>
          <w:rFonts w:ascii="Times New Roman" w:hAnsi="Times New Roman"/>
          <w:sz w:val="20"/>
          <w:lang w:val="hu-HU"/>
        </w:rPr>
        <w:t>átalakulásban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</w:t>
      </w:r>
      <w:r>
        <w:rPr>
          <w:rFonts w:ascii="Times New Roman" w:hAnsi="Times New Roman"/>
          <w:sz w:val="20"/>
          <w:lang w:val="hu-HU"/>
        </w:rPr>
        <w:t>Átalakuló</w:t>
      </w:r>
      <w:r w:rsidRPr="00D2184F">
        <w:rPr>
          <w:rFonts w:ascii="Times New Roman" w:hAnsi="Times New Roman"/>
          <w:sz w:val="20"/>
          <w:lang w:val="hu-HU"/>
        </w:rPr>
        <w:t xml:space="preserve"> Társaságok”.</w:t>
      </w:r>
    </w:p>
    <w:p w14:paraId="180A5F8F" w14:textId="77777777" w:rsidR="001C755E" w:rsidRPr="00D2184F" w:rsidRDefault="001C755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100B283" w14:textId="1DD0144B" w:rsidR="001C755E" w:rsidRDefault="001C755E" w:rsidP="002B4176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alakuló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Átalakulással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</w:t>
      </w:r>
      <w:r w:rsidR="003B1D64">
        <w:rPr>
          <w:rFonts w:ascii="Times New Roman" w:hAnsi="Times New Roman"/>
          <w:i/>
          <w:color w:val="FF0000"/>
          <w:sz w:val="20"/>
          <w:szCs w:val="20"/>
          <w:lang w:val="hu-HU"/>
        </w:rPr>
        <w:t>X1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72CD22F4" w14:textId="77777777" w:rsidR="001C755E" w:rsidRPr="002E3ADC" w:rsidRDefault="001C755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2C2E2E7" w14:textId="77777777" w:rsidR="001C755E" w:rsidRPr="00D26E33" w:rsidRDefault="001C755E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49877FEC" w14:textId="77777777" w:rsidR="001C755E" w:rsidRDefault="001C755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6E436FED" w14:textId="77777777" w:rsidR="001C755E" w:rsidRDefault="001C755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2C29C638" w14:textId="77777777" w:rsidR="001C755E" w:rsidRPr="00D26E33" w:rsidRDefault="001C755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59A61434" w14:textId="47099F40" w:rsidR="001C755E" w:rsidRDefault="001C755E" w:rsidP="002B4176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az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Átalakuló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3B1D64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3B1D64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3B1D64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3B1D64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3B1D64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53620221" w14:textId="77777777" w:rsidR="001C755E" w:rsidRPr="00CD0C83" w:rsidRDefault="001C755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1F893C3" w14:textId="77777777" w:rsidR="001C755E" w:rsidRDefault="001C755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68498FA1" w14:textId="77777777" w:rsidR="001C755E" w:rsidRDefault="001C755E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691813FD" w14:textId="77777777" w:rsidR="001C755E" w:rsidRPr="00D81BE9" w:rsidRDefault="001C755E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5BC3BE74" w14:textId="77777777" w:rsidR="001C755E" w:rsidRDefault="001C755E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F6E5768" w14:textId="77777777" w:rsidR="001C755E" w:rsidRPr="00D81BE9" w:rsidRDefault="001C755E" w:rsidP="00CC4CD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Átalakuló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471C26DE" w14:textId="77777777" w:rsidR="001C755E" w:rsidRPr="00D26E33" w:rsidRDefault="001C755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1E0BF6AE" w14:textId="77777777" w:rsidR="001C755E" w:rsidRPr="003D1DA3" w:rsidRDefault="001C755E" w:rsidP="002B4176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átalakulási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terv</w:t>
      </w:r>
    </w:p>
    <w:p w14:paraId="4C03377E" w14:textId="77777777" w:rsidR="001C755E" w:rsidRDefault="001C755E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274C526" w14:textId="77777777" w:rsidR="001C755E" w:rsidRDefault="001C755E" w:rsidP="002B4176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az </w:t>
      </w:r>
      <w:r>
        <w:rPr>
          <w:rFonts w:ascii="Times New Roman" w:hAnsi="Times New Roman"/>
          <w:sz w:val="20"/>
          <w:szCs w:val="20"/>
          <w:lang w:val="hu-HU"/>
        </w:rPr>
        <w:t>Átalakuló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Társaságok vagyonmérleg-tervezetei és az azokat alátámasztó vagyonleltár-tervezetek kivételével, az átalakulási törvény 3. §-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ában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 meghatározott átalakulási tervet foglalják magukban.  A független könyvvizsgálói jelentésem(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„Vélemény” szakaszában a vagyonmérleg-tervezetekre adott könyvvizsgálói véleményem(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nem vonatkozik az átalakulási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átalakulási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tervnek </w:t>
      </w:r>
      <w:r w:rsidRPr="003D1DA3">
        <w:rPr>
          <w:rFonts w:ascii="Times New Roman" w:hAnsi="Times New Roman"/>
          <w:sz w:val="20"/>
          <w:szCs w:val="20"/>
          <w:lang w:val="hu-HU"/>
        </w:rPr>
        <w:lastRenderedPageBreak/>
        <w:t>a Polgári Törvénykönyvről szóló 2013. évi V. törvény és az átalakulási törvény vonatkozó előírásaival összhangban történő elkészítéséért.</w:t>
      </w:r>
    </w:p>
    <w:p w14:paraId="44BC1D9E" w14:textId="77777777" w:rsidR="001C755E" w:rsidRPr="003D1DA3" w:rsidRDefault="001C755E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FC915EE" w14:textId="77777777" w:rsidR="001C755E" w:rsidRDefault="001C755E" w:rsidP="002B4176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vagyonmérleg-tervezetek általam(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végzett könyvvizsgálatával kapcsolatban az én (a mi) felelősségem(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az </w:t>
      </w:r>
      <w:r>
        <w:rPr>
          <w:rFonts w:ascii="Times New Roman" w:hAnsi="Times New Roman"/>
          <w:sz w:val="20"/>
          <w:szCs w:val="20"/>
          <w:lang w:val="hu-HU"/>
        </w:rPr>
        <w:t>átalakulási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annak mérlegelése, hogy az </w:t>
      </w:r>
      <w:r>
        <w:rPr>
          <w:rFonts w:ascii="Times New Roman" w:hAnsi="Times New Roman"/>
          <w:sz w:val="20"/>
          <w:szCs w:val="20"/>
          <w:lang w:val="hu-HU"/>
        </w:rPr>
        <w:t xml:space="preserve">átalakulási </w:t>
      </w:r>
      <w:r w:rsidRPr="003D1DA3">
        <w:rPr>
          <w:rFonts w:ascii="Times New Roman" w:hAnsi="Times New Roman"/>
          <w:sz w:val="20"/>
          <w:szCs w:val="20"/>
          <w:lang w:val="hu-HU"/>
        </w:rPr>
        <w:t>terv lényegesen ellentmond-e a vagyonmérleg-tervezeteknek vagy a könyvvizsgálat során szerzett ismereteim(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nek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alapján arra a következtetésre jutok(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átalakulási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).</w:t>
      </w:r>
    </w:p>
    <w:p w14:paraId="605B3C00" w14:textId="77777777" w:rsidR="001C755E" w:rsidRPr="003D1DA3" w:rsidRDefault="001C755E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719C59C" w14:textId="77777777" w:rsidR="001C755E" w:rsidRPr="00D26E33" w:rsidRDefault="001C755E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22BEC3F2" w14:textId="77777777" w:rsidR="001C755E" w:rsidRDefault="001C755E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0B6FDF54" w14:textId="77777777" w:rsidR="001C755E" w:rsidRDefault="001C755E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vagyonmérleg-tervezeteknek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vagyonmérleg-tervezetek </w:t>
      </w:r>
      <w:r w:rsidRPr="00D26E33">
        <w:rPr>
          <w:spacing w:val="1"/>
          <w:lang w:val="hu-HU"/>
        </w:rPr>
        <w:t xml:space="preserve">elkészítése. </w:t>
      </w:r>
    </w:p>
    <w:p w14:paraId="5DD746C5" w14:textId="77777777" w:rsidR="001C755E" w:rsidRPr="00D26E33" w:rsidRDefault="001C755E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26C2E8AE" w14:textId="77777777" w:rsidR="001C755E" w:rsidRDefault="001C755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1E653161" w14:textId="77777777" w:rsidR="001C755E" w:rsidRDefault="001C755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2B242BBC" w14:textId="77777777" w:rsidR="001C755E" w:rsidRDefault="001C755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>Az irányítással megbízott személyek felelősek az irányításuk alatt lévő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25AE8871" w14:textId="77777777" w:rsidR="001C755E" w:rsidRDefault="001C755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14:paraId="33B512EB" w14:textId="77777777" w:rsidR="001C755E" w:rsidRDefault="001C755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vagyonmérleg-tervezetek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14:paraId="44A3A03B" w14:textId="77777777" w:rsidR="001C755E" w:rsidRDefault="001C755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5446CFA0" w14:textId="77777777" w:rsidR="001C755E" w:rsidRDefault="001C755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  <w:r w:rsidRPr="00D26E33">
        <w:rPr>
          <w:lang w:val="hu-HU"/>
        </w:rPr>
        <w:t>A könyvvizsgálat során célom(</w:t>
      </w:r>
      <w:proofErr w:type="spellStart"/>
      <w:r w:rsidRPr="00D26E33">
        <w:rPr>
          <w:lang w:val="hu-HU"/>
        </w:rPr>
        <w:t>unk</w:t>
      </w:r>
      <w:proofErr w:type="spellEnd"/>
      <w:r w:rsidRPr="00D26E33">
        <w:rPr>
          <w:lang w:val="hu-HU"/>
        </w:rPr>
        <w:t>) kellő bizon</w:t>
      </w:r>
      <w:r>
        <w:rPr>
          <w:lang w:val="hu-HU"/>
        </w:rPr>
        <w:t xml:space="preserve">yosságot szerezni arról, hogy </w:t>
      </w:r>
      <w:r w:rsidRPr="00764D30">
        <w:rPr>
          <w:lang w:val="hu-HU"/>
        </w:rPr>
        <w:t xml:space="preserve">a vagyonmérleg-tervezeteket a </w:t>
      </w:r>
      <w:r w:rsidRPr="00344CDA">
        <w:rPr>
          <w:lang w:val="hu-HU"/>
        </w:rPr>
        <w:t>számviteli törvény 136-141. §-okban foglalt rendelkezéseivel összhangban állították össze és a vagyonmérleg-</w:t>
      </w:r>
      <w:r>
        <w:rPr>
          <w:lang w:val="hu-HU"/>
        </w:rPr>
        <w:t xml:space="preserve">tervezetek </w:t>
      </w:r>
      <w:r w:rsidRPr="00D26E33">
        <w:rPr>
          <w:lang w:val="hu-HU"/>
        </w:rPr>
        <w:t>egésze nem tartalmaz akár csalásból, akár hibából eredő lényeges hibás állítást,</w:t>
      </w:r>
      <w:r w:rsidRPr="00D26E33">
        <w:rPr>
          <w:caps/>
          <w:lang w:val="hu-HU"/>
        </w:rPr>
        <w:t xml:space="preserve"> </w:t>
      </w:r>
      <w:r w:rsidRPr="00D26E33">
        <w:rPr>
          <w:lang w:val="hu-HU"/>
        </w:rPr>
        <w:t>valamint az, hogy ennek alapján a véleményemet(</w:t>
      </w:r>
      <w:proofErr w:type="spellStart"/>
      <w:r w:rsidRPr="00D26E33">
        <w:rPr>
          <w:lang w:val="hu-HU"/>
        </w:rPr>
        <w:t>ünket</w:t>
      </w:r>
      <w:proofErr w:type="spellEnd"/>
      <w:r w:rsidRPr="00D26E33">
        <w:rPr>
          <w:lang w:val="hu-HU"/>
        </w:rPr>
        <w:t xml:space="preserve">) tartalmazó független könyvvizsgálói jelentést </w:t>
      </w:r>
      <w:proofErr w:type="spellStart"/>
      <w:r w:rsidRPr="00D26E33">
        <w:rPr>
          <w:lang w:val="hu-HU"/>
        </w:rPr>
        <w:t>bocsássak</w:t>
      </w:r>
      <w:proofErr w:type="spellEnd"/>
      <w:r w:rsidRPr="00D26E33">
        <w:rPr>
          <w:lang w:val="hu-HU"/>
        </w:rPr>
        <w:t>(</w:t>
      </w:r>
      <w:proofErr w:type="spellStart"/>
      <w:r w:rsidRPr="00D26E33">
        <w:rPr>
          <w:lang w:val="hu-HU"/>
        </w:rPr>
        <w:t>sunk</w:t>
      </w:r>
      <w:proofErr w:type="spellEnd"/>
      <w:r w:rsidRPr="00D26E33">
        <w:rPr>
          <w:lang w:val="hu-HU"/>
        </w:rPr>
        <w:t xml:space="preserve">) ki. A kellő bizonyosság magas fokú bizonyosság, de nem garancia arra, hogy a </w:t>
      </w:r>
      <w:r w:rsidRPr="00D26E33">
        <w:rPr>
          <w:spacing w:val="-4"/>
          <w:lang w:val="hu-HU"/>
        </w:rPr>
        <w:t xml:space="preserve">Magyar Nemzeti Könyvvizsgálati Standardokkal </w:t>
      </w:r>
      <w:r w:rsidRPr="00D26E33">
        <w:rPr>
          <w:lang w:val="hu-HU"/>
        </w:rPr>
        <w:t xml:space="preserve">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</w:t>
      </w:r>
      <w:r>
        <w:rPr>
          <w:lang w:val="hu-HU"/>
        </w:rPr>
        <w:t xml:space="preserve">vagyonmérleg-tervezetek </w:t>
      </w:r>
      <w:r w:rsidRPr="00D26E33">
        <w:rPr>
          <w:lang w:val="hu-HU"/>
        </w:rPr>
        <w:t xml:space="preserve">alapján meghozott gazdasági döntéseit. </w:t>
      </w:r>
    </w:p>
    <w:p w14:paraId="3B97FEF3" w14:textId="77777777" w:rsidR="001C755E" w:rsidRPr="00BF5EE3" w:rsidRDefault="001C755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511C713D" w14:textId="77777777" w:rsidR="001C755E" w:rsidRPr="00764D30" w:rsidRDefault="001C755E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A </w:t>
      </w:r>
      <w:r w:rsidRPr="00764D3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Magyar Nemzeti Könyvvizsgálati Standardok </w:t>
      </w: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szerinti könyvvizsgálat egésze során szakmai megítélést alkalmazok(</w:t>
      </w:r>
      <w:proofErr w:type="spellStart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unk</w:t>
      </w:r>
      <w:proofErr w:type="spellEnd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) és szakmai szkepticizmust tartok(</w:t>
      </w:r>
      <w:proofErr w:type="spellStart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unk</w:t>
      </w:r>
      <w:proofErr w:type="spellEnd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) fenn. </w:t>
      </w:r>
    </w:p>
    <w:p w14:paraId="4B311D82" w14:textId="77777777" w:rsidR="001C755E" w:rsidRPr="00D26E33" w:rsidRDefault="001C755E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Továbbá:</w:t>
      </w:r>
    </w:p>
    <w:p w14:paraId="3645D0BB" w14:textId="77777777" w:rsidR="001C755E" w:rsidRPr="00D26E33" w:rsidRDefault="001C755E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Azonosítom(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) és fel</w:t>
      </w:r>
      <w:r>
        <w:rPr>
          <w:rFonts w:ascii="Times New Roman" w:hAnsi="Times New Roman"/>
          <w:kern w:val="20"/>
          <w:sz w:val="20"/>
          <w:szCs w:val="20"/>
          <w:lang w:val="hu-HU"/>
        </w:rPr>
        <w:t>mére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>
        <w:rPr>
          <w:rFonts w:ascii="Times New Roman" w:hAnsi="Times New Roman"/>
          <w:kern w:val="20"/>
          <w:sz w:val="20"/>
          <w:szCs w:val="20"/>
          <w:lang w:val="hu-HU"/>
        </w:rPr>
        <w:t>) a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kern w:val="20"/>
          <w:sz w:val="20"/>
          <w:szCs w:val="20"/>
          <w:lang w:val="hu-HU"/>
        </w:rPr>
        <w:t>vagyonmérleg-tervezetek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akár csalásból, akár hibából eredő lényeges hibás állításainak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kockázatait, </w:t>
      </w:r>
      <w:r>
        <w:rPr>
          <w:rFonts w:ascii="Times New Roman" w:hAnsi="Times New Roman"/>
          <w:kern w:val="20"/>
          <w:sz w:val="20"/>
          <w:szCs w:val="20"/>
          <w:lang w:val="hu-HU"/>
        </w:rPr>
        <w:t>ki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alakíto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proofErr w:type="spellStart"/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) és </w:t>
      </w:r>
      <w:r>
        <w:rPr>
          <w:rFonts w:ascii="Times New Roman" w:hAnsi="Times New Roman"/>
          <w:kern w:val="20"/>
          <w:sz w:val="20"/>
          <w:szCs w:val="20"/>
          <w:lang w:val="hu-HU"/>
        </w:rPr>
        <w:t>végre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hajto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proofErr w:type="spellStart"/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 ezen kockázatok kezelésére alkalmas könyvvizsgálati eljárásokat, valamint elegendő és megfelelő könyvvizsgálati bizonyítékot szerzek(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véleményem(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) megalapozásához. A csalásból eredő lényeges hibás állítás fel nem tárásának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kockázata nagyobb, mint a hibából eredőé, mivel a csalás magában foglalhat összejátszást, hamisítást, szándékos kihagyásokat, téves nyilatkozatokat, vagy a belső kontroll felülírását</w:t>
      </w:r>
      <w:r>
        <w:rPr>
          <w:rFonts w:ascii="Times New Roman" w:hAnsi="Times New Roman"/>
          <w:kern w:val="20"/>
          <w:sz w:val="20"/>
          <w:szCs w:val="20"/>
          <w:lang w:val="hu-HU"/>
        </w:rPr>
        <w:t>.</w:t>
      </w:r>
    </w:p>
    <w:p w14:paraId="2F655ADE" w14:textId="77777777" w:rsidR="001C755E" w:rsidRPr="00D26E33" w:rsidRDefault="001C755E" w:rsidP="0024017A">
      <w:pPr>
        <w:widowControl w:val="0"/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>Megismerem(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 xml:space="preserve">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>z Átalakuló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Társaság</w:t>
      </w:r>
      <w:r>
        <w:rPr>
          <w:rFonts w:ascii="Times New Roman" w:hAnsi="Times New Roman"/>
          <w:sz w:val="20"/>
          <w:szCs w:val="20"/>
          <w:lang w:val="hu-HU"/>
        </w:rPr>
        <w:t>ok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belső kontrolljának hatékonyságára vonatkozóan véleményt nyilvánítsak(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).</w:t>
      </w:r>
    </w:p>
    <w:p w14:paraId="5E5BD4AF" w14:textId="77777777" w:rsidR="001C755E" w:rsidRPr="00D26E33" w:rsidRDefault="001C755E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Style w:val="Jegyzethivatkozs"/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ésszerűségét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. </w:t>
      </w:r>
    </w:p>
    <w:p w14:paraId="03FB15D8" w14:textId="77777777" w:rsidR="001C755E" w:rsidRDefault="001C755E" w:rsidP="00EC244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Következtetést vonok(</w:t>
      </w:r>
      <w:proofErr w:type="spellStart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</w:t>
      </w:r>
      <w:proofErr w:type="spellEnd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a jogutód társaságra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az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átalakulás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</w:t>
      </w:r>
      <w:proofErr w:type="spellStart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</w:t>
      </w:r>
      <w:proofErr w:type="spellStart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lastRenderedPageBreak/>
        <w:t>könyvvizsgálói jelentésem(</w:t>
      </w:r>
      <w:proofErr w:type="spellStart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14:paraId="5281B1E5" w14:textId="77777777" w:rsidR="001C755E" w:rsidRPr="001F4991" w:rsidRDefault="001C755E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Értékelem(</w:t>
      </w:r>
      <w:proofErr w:type="spellStart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jük</w:t>
      </w:r>
      <w:proofErr w:type="spellEnd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) a vagyonmérleg-tervezetek átfogó bemutatását, felépítését és tartalmát, valamint értékelem(</w:t>
      </w:r>
      <w:proofErr w:type="spellStart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jük</w:t>
      </w:r>
      <w:proofErr w:type="spellEnd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) azt is, hogy a vagyonmérleg-tervezetekben teljesül-e az alapul szolgáló ügyletek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nek és eseményeknek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 xml:space="preserve"> számviteli törvény 136.-14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1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. §-ok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ban foglaltak szerinti bemutatása.</w:t>
      </w:r>
    </w:p>
    <w:p w14:paraId="54928165" w14:textId="77777777" w:rsidR="001C755E" w:rsidRPr="00F5435B" w:rsidRDefault="001C755E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Az irányítással megbízott személyek tudomására hozom(</w:t>
      </w:r>
      <w:proofErr w:type="spellStart"/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zuk</w:t>
      </w:r>
      <w:proofErr w:type="spellEnd"/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) - egyéb kérdések mellett - a könyv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vizsgálat tervezett hatókörét, ütemezését és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 xml:space="preserve"> a könyvvizsgálat jelentős megállapításait. </w:t>
      </w:r>
    </w:p>
    <w:p w14:paraId="137AEC6A" w14:textId="77777777" w:rsidR="001C755E" w:rsidRDefault="001C755E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6DCC677C" w14:textId="77777777" w:rsidR="001C755E" w:rsidRDefault="001C755E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55AAFD1A" w14:textId="77777777" w:rsidR="001C755E" w:rsidRPr="003A48B3" w:rsidRDefault="001C755E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1BBCAE6E" w14:textId="77777777" w:rsidR="001C755E" w:rsidRPr="00D26E33" w:rsidRDefault="001C755E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307C7F97" w14:textId="77777777" w:rsidR="001C755E" w:rsidRPr="00D26E33" w:rsidRDefault="001C755E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33377E3A" w14:textId="77777777" w:rsidR="001C755E" w:rsidRPr="00D26E33" w:rsidRDefault="001C755E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72F23DA6" w14:textId="77777777" w:rsidR="001C755E" w:rsidRPr="00D26E33" w:rsidRDefault="001C755E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52340D8D" w14:textId="77777777" w:rsidR="001C755E" w:rsidRPr="00D26E33" w:rsidRDefault="001C755E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31F8CAFE" w14:textId="77777777" w:rsidR="001C755E" w:rsidRPr="0080033F" w:rsidRDefault="001C755E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1C755E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F26130" w14:textId="77777777" w:rsidR="001C755E" w:rsidRDefault="001C755E" w:rsidP="001E2511">
      <w:pPr>
        <w:spacing w:after="0" w:line="240" w:lineRule="auto"/>
      </w:pPr>
      <w:r>
        <w:separator/>
      </w:r>
    </w:p>
  </w:endnote>
  <w:endnote w:type="continuationSeparator" w:id="0">
    <w:p w14:paraId="03A49531" w14:textId="77777777" w:rsidR="001C755E" w:rsidRDefault="001C755E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229F6" w14:textId="77777777" w:rsidR="001C755E" w:rsidRDefault="003B1D64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1C755E" w:rsidRPr="00CC4CDE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2370B948" w14:textId="77777777" w:rsidR="001C755E" w:rsidRDefault="001C755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033E9" w14:textId="77777777" w:rsidR="001C755E" w:rsidRDefault="001C755E" w:rsidP="001E2511">
      <w:pPr>
        <w:spacing w:after="0" w:line="240" w:lineRule="auto"/>
      </w:pPr>
      <w:r>
        <w:separator/>
      </w:r>
    </w:p>
  </w:footnote>
  <w:footnote w:type="continuationSeparator" w:id="0">
    <w:p w14:paraId="371D1DF6" w14:textId="77777777" w:rsidR="001C755E" w:rsidRDefault="001C755E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1174D"/>
    <w:rsid w:val="000466DF"/>
    <w:rsid w:val="000477F3"/>
    <w:rsid w:val="00052310"/>
    <w:rsid w:val="000526A8"/>
    <w:rsid w:val="00052FA7"/>
    <w:rsid w:val="00070D36"/>
    <w:rsid w:val="0007315E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C755E"/>
    <w:rsid w:val="001E2511"/>
    <w:rsid w:val="001F4991"/>
    <w:rsid w:val="00203A97"/>
    <w:rsid w:val="0021325E"/>
    <w:rsid w:val="00223731"/>
    <w:rsid w:val="0024017A"/>
    <w:rsid w:val="00247292"/>
    <w:rsid w:val="0027581F"/>
    <w:rsid w:val="00292B45"/>
    <w:rsid w:val="002A38FE"/>
    <w:rsid w:val="002B4176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B1D64"/>
    <w:rsid w:val="003D1DA3"/>
    <w:rsid w:val="004005B8"/>
    <w:rsid w:val="004024A0"/>
    <w:rsid w:val="00414BBB"/>
    <w:rsid w:val="004445AE"/>
    <w:rsid w:val="00452CD9"/>
    <w:rsid w:val="004779ED"/>
    <w:rsid w:val="00487ABB"/>
    <w:rsid w:val="0049504C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C3884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3401"/>
    <w:rsid w:val="00687B5C"/>
    <w:rsid w:val="006921F5"/>
    <w:rsid w:val="006B3A11"/>
    <w:rsid w:val="006F0346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1082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D2470"/>
    <w:rsid w:val="009E0C97"/>
    <w:rsid w:val="009E2855"/>
    <w:rsid w:val="009F04DA"/>
    <w:rsid w:val="00A17108"/>
    <w:rsid w:val="00A22ADE"/>
    <w:rsid w:val="00A23902"/>
    <w:rsid w:val="00A34EB6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5C6E"/>
    <w:rsid w:val="00B513E0"/>
    <w:rsid w:val="00B617E1"/>
    <w:rsid w:val="00B662F3"/>
    <w:rsid w:val="00B86E55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C4CDE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2445"/>
    <w:rsid w:val="00EC4D43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76DF8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4FE458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934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1204</Words>
  <Characters>8315</Characters>
  <Application>Microsoft Office Word</Application>
  <DocSecurity>0</DocSecurity>
  <Lines>69</Lines>
  <Paragraphs>18</Paragraphs>
  <ScaleCrop>false</ScaleCrop>
  <Company>Microsoft</Company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6</cp:revision>
  <dcterms:created xsi:type="dcterms:W3CDTF">2018-03-20T16:09:00Z</dcterms:created>
  <dcterms:modified xsi:type="dcterms:W3CDTF">2021-01-13T15:43:00Z</dcterms:modified>
</cp:coreProperties>
</file>