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C3" w:rsidRDefault="004F5DC3" w:rsidP="008541FD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3. sz. melléklet:</w:t>
      </w:r>
    </w:p>
    <w:p w:rsidR="004F5DC3" w:rsidRPr="004024A0" w:rsidRDefault="004F5DC3" w:rsidP="008541FD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>z összeolvadási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4F5DC3" w:rsidRDefault="004F5DC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4F5DC3" w:rsidRDefault="004F5DC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F5DC3" w:rsidRDefault="004F5DC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F5DC3" w:rsidRPr="00D26E33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4F5DC3" w:rsidRPr="00D26E33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F5DC3" w:rsidRPr="00D2184F" w:rsidRDefault="004F5DC3" w:rsidP="008541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z összeolvadásban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4F5DC3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4F5DC3" w:rsidRPr="0024017A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:rsidR="004F5DC3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F5DC3" w:rsidRPr="00D2184F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4F5DC3" w:rsidRDefault="004F5DC3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4F5DC3" w:rsidRPr="00D2184F" w:rsidRDefault="004F5DC3" w:rsidP="008541FD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összeolvadásával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összeolvadási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4F5DC3" w:rsidRPr="00D2184F" w:rsidRDefault="004F5DC3" w:rsidP="008541F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8541FD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Összeolvadó 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1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során 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1  társaság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4F5DC3" w:rsidRPr="00D2184F" w:rsidRDefault="004F5DC3" w:rsidP="008541F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8541FD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Összeolvadó </w:t>
      </w:r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>2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során 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2  társaság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4F5DC3" w:rsidRPr="00D2184F" w:rsidRDefault="004F5DC3" w:rsidP="008541F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 xml:space="preserve"> 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Összeolvadással létrejövő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>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után létrejövő </w:t>
      </w:r>
      <w:r w:rsidRPr="00D2184F">
        <w:rPr>
          <w:rFonts w:ascii="Times New Roman" w:hAnsi="Times New Roman" w:cs="Times New Roman"/>
          <w:sz w:val="20"/>
          <w:szCs w:val="20"/>
        </w:rPr>
        <w:t>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össze</w:t>
      </w:r>
      <w:r w:rsidRPr="00D2184F">
        <w:rPr>
          <w:rFonts w:ascii="Times New Roman" w:hAnsi="Times New Roman" w:cs="Times New Roman"/>
          <w:sz w:val="20"/>
          <w:szCs w:val="20"/>
        </w:rPr>
        <w:t>olvadás utáni tervezett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4F5DC3" w:rsidRPr="00D2184F" w:rsidRDefault="004F5DC3" w:rsidP="008541FD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A</w:t>
      </w:r>
      <w:r>
        <w:rPr>
          <w:rFonts w:ascii="Times New Roman" w:hAnsi="Times New Roman"/>
          <w:sz w:val="20"/>
          <w:lang w:val="hu-HU"/>
        </w:rPr>
        <w:t>z összeolvadásban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„Egyesülő Társaságok”.</w:t>
      </w:r>
    </w:p>
    <w:p w:rsidR="004F5DC3" w:rsidRPr="00D2184F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Default="004F5DC3" w:rsidP="008541FD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Összeolvadó 1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összeolvadó 1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vadó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2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>
        <w:rPr>
          <w:rFonts w:ascii="Times New Roman" w:hAnsi="Times New Roman"/>
          <w:sz w:val="20"/>
          <w:szCs w:val="20"/>
          <w:lang w:val="hu-HU"/>
        </w:rPr>
        <w:t xml:space="preserve"> mint összeolvadó 2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</w:t>
      </w:r>
      <w:r>
        <w:rPr>
          <w:rFonts w:ascii="Times New Roman" w:hAnsi="Times New Roman"/>
          <w:sz w:val="20"/>
          <w:szCs w:val="20"/>
          <w:lang w:val="hu-HU"/>
        </w:rPr>
        <w:t>létrejövő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jogutód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4F5DC3" w:rsidRPr="002E3ADC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Pr="00D26E33" w:rsidRDefault="004F5DC3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4F5DC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F5DC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4F5DC3" w:rsidRPr="00D26E3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F5DC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4F5DC3" w:rsidRPr="00CD0C8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F5DC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4F5DC3" w:rsidRDefault="004F5DC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4F5DC3" w:rsidRPr="00D81BE9" w:rsidRDefault="004F5DC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4F5DC3" w:rsidRDefault="004F5DC3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Pr="00D81BE9" w:rsidRDefault="004F5DC3" w:rsidP="00FC68D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4F5DC3" w:rsidRPr="00D26E3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F5DC3" w:rsidRPr="003D1DA3" w:rsidRDefault="004F5DC3" w:rsidP="008541FD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(összeolvadási)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4F5DC3" w:rsidRDefault="004F5DC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Default="004F5DC3" w:rsidP="008541FD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Egyesülő Társaságok vagyonmérleg-tervezetei és az azokat alátámasztó vagyonleltár-tervezetek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vagyonmérleg-tervezetekre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4F5DC3" w:rsidRPr="003D1DA3" w:rsidRDefault="004F5DC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Default="004F5DC3" w:rsidP="008541FD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vagyonmérleg-tervezetek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4F5DC3" w:rsidRPr="003D1DA3" w:rsidRDefault="004F5DC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Pr="00D26E33" w:rsidRDefault="004F5DC3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4F5DC3" w:rsidRDefault="004F5DC3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F5DC3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vagyonmérleg-tervezeteknek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vagyonmérleg-tervezetek elkészítése. </w:t>
      </w:r>
    </w:p>
    <w:p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felelősek az irányításuk alatt lévő társaság pénzügyi beszámolási folyamatának felügyeletéért. </w:t>
      </w:r>
    </w:p>
    <w:p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Pr="00DD46F2" w:rsidRDefault="004F5DC3" w:rsidP="00DD46F2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vagyonmérleg-tervezetek könyvvizsgálatáért való felelőssége </w:t>
      </w:r>
    </w:p>
    <w:p w:rsidR="004F5DC3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vagyonmérleg-tervezeteket a számviteli törvény 136-141. §-okban foglalt rendelkezéseivel összhangban állították össze és a vagyonmérleg-tervezetek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vagyonmérleg-tervezetek alapján meghozott gazdasági döntéseit. </w:t>
      </w:r>
    </w:p>
    <w:p w:rsidR="004F5DC3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4F5DC3" w:rsidRPr="00DD46F2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4F5DC3" w:rsidRPr="00D26E33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Egyesülő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4F5DC3" w:rsidRPr="008541FD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4F5DC3" w:rsidRPr="00DD46F2" w:rsidRDefault="004F5DC3" w:rsidP="005D288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vonok(unk) le arról, hogy helyénvaló-e a vezetés részéről a vállalkozás folytatásának elvén alapuló vagyonmérleg-tervezetek összeállítása. A vállalkozás folytatása elvének érvényesülésével kapcsolatos vizsgálataim(nk)at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4F5DC3" w:rsidRPr="00DD46F2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ügyleteknek és eseményeknek számviteli törvény 136.-141. §-okban foglaltak szerinti bemutatása.</w:t>
      </w:r>
    </w:p>
    <w:p w:rsidR="004F5DC3" w:rsidRPr="00DD46F2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Pr="00DD46F2" w:rsidRDefault="004F5DC3" w:rsidP="00DD46F2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DD46F2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egyéb jogi és szabályozói követelményekről</w:t>
      </w:r>
    </w:p>
    <w:p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F5DC3" w:rsidRPr="000D3113" w:rsidRDefault="004F5DC3" w:rsidP="005D2886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cserearány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</w:t>
      </w:r>
      <w:r>
        <w:rPr>
          <w:spacing w:val="1"/>
          <w:lang w:val="hu-HU"/>
        </w:rPr>
        <w:t>z egyesülési (összeolvadási)</w:t>
      </w:r>
      <w:r w:rsidRPr="000D3113">
        <w:rPr>
          <w:spacing w:val="1"/>
          <w:lang w:val="hu-HU"/>
        </w:rPr>
        <w:t xml:space="preserve"> szerződés tervezet</w:t>
      </w:r>
      <w:r>
        <w:rPr>
          <w:spacing w:val="1"/>
          <w:lang w:val="hu-HU"/>
        </w:rPr>
        <w:t>é</w:t>
      </w:r>
      <w:r w:rsidRPr="000D3113">
        <w:rPr>
          <w:spacing w:val="1"/>
          <w:lang w:val="hu-HU"/>
        </w:rPr>
        <w:t xml:space="preserve">ben és a vezető tisztségviselők írásbeli beszámolójában foglaltak megalapozottságát, valamint azt, hogy a tervezett </w:t>
      </w:r>
      <w:r>
        <w:rPr>
          <w:spacing w:val="1"/>
          <w:lang w:val="hu-HU"/>
        </w:rPr>
        <w:t>összeolvadás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:rsidR="004F5DC3" w:rsidRPr="000D3113" w:rsidRDefault="004F5DC3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F5DC3" w:rsidRPr="000D3113" w:rsidRDefault="004F5DC3" w:rsidP="005D2886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</w:t>
      </w:r>
      <w:r>
        <w:rPr>
          <w:spacing w:val="1"/>
          <w:lang w:val="hu-HU"/>
        </w:rPr>
        <w:t>z Egyesülő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</w:t>
      </w:r>
      <w:r>
        <w:rPr>
          <w:spacing w:val="1"/>
          <w:lang w:val="hu-HU"/>
        </w:rPr>
        <w:t>z egyesülési (összeolvadási)</w:t>
      </w:r>
      <w:r w:rsidRPr="000D3113">
        <w:rPr>
          <w:spacing w:val="1"/>
          <w:lang w:val="hu-HU"/>
        </w:rPr>
        <w:t xml:space="preserve"> szerződés elkészítésével egyidejűleg írásbeli beszámolót készítsenek, amelyben a jogi és a gazdasági szempontok ismertetésével megindokolják a</w:t>
      </w:r>
      <w:r>
        <w:rPr>
          <w:spacing w:val="1"/>
          <w:lang w:val="hu-HU"/>
        </w:rPr>
        <w:t>z összeolvadás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részvények cserearányát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:rsidR="004F5DC3" w:rsidRPr="000D3113" w:rsidRDefault="004F5DC3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F5DC3" w:rsidRPr="000D3113" w:rsidRDefault="004F5DC3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:rsidR="004F5DC3" w:rsidRPr="000D3113" w:rsidRDefault="004F5DC3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F5DC3" w:rsidRPr="000D3113" w:rsidRDefault="004F5DC3" w:rsidP="005D2886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a részvénytársaság megfelelően </w:t>
      </w:r>
      <w:r>
        <w:rPr>
          <w:spacing w:val="1"/>
          <w:lang w:val="hu-HU"/>
        </w:rPr>
        <w:t xml:space="preserve">/ nem megfelelően </w:t>
      </w:r>
      <w:r w:rsidRPr="000D3113">
        <w:rPr>
          <w:spacing w:val="1"/>
          <w:lang w:val="hu-HU"/>
        </w:rPr>
        <w:t xml:space="preserve">állapította meg. </w:t>
      </w:r>
      <w:r>
        <w:rPr>
          <w:spacing w:val="1"/>
          <w:lang w:val="hu-HU"/>
        </w:rPr>
        <w:t xml:space="preserve">(Ha nem megfelelő,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>Az értékelés során különös nehézségek nem adódtak / a következő nehézségek adódtak: (Felsorolás az értékelés nehézségeiről.) A</w:t>
      </w:r>
      <w:r>
        <w:rPr>
          <w:spacing w:val="1"/>
          <w:lang w:val="hu-HU"/>
        </w:rPr>
        <w:t>z egyesülési (összeolvadási)</w:t>
      </w:r>
      <w:r w:rsidRPr="000D3113">
        <w:rPr>
          <w:spacing w:val="1"/>
          <w:lang w:val="hu-HU"/>
        </w:rPr>
        <w:t xml:space="preserve"> 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összeolvadás</w:t>
      </w:r>
      <w:r w:rsidRPr="000D3113">
        <w:rPr>
          <w:spacing w:val="1"/>
          <w:lang w:val="hu-HU"/>
        </w:rPr>
        <w:t xml:space="preserve"> nem veszélyezteti / veszélyezteti a</w:t>
      </w:r>
      <w:r>
        <w:rPr>
          <w:spacing w:val="1"/>
          <w:lang w:val="hu-HU"/>
        </w:rPr>
        <w:t>z összeolvadásban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:rsidR="004F5DC3" w:rsidRDefault="004F5DC3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F5DC3" w:rsidRPr="003A48B3" w:rsidRDefault="004F5DC3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4F5DC3" w:rsidRPr="00D26E33" w:rsidRDefault="004F5DC3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4F5DC3" w:rsidRPr="00D26E33" w:rsidRDefault="004F5DC3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4F5DC3" w:rsidRPr="00D26E33" w:rsidRDefault="004F5DC3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4F5DC3" w:rsidRPr="00D26E33" w:rsidRDefault="004F5DC3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4F5DC3" w:rsidRPr="00D26E33" w:rsidRDefault="004F5DC3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4F5DC3" w:rsidRPr="0080033F" w:rsidRDefault="004F5DC3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4F5DC3" w:rsidRDefault="004F5DC3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4F5DC3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DC3" w:rsidRDefault="004F5DC3" w:rsidP="001E2511">
      <w:pPr>
        <w:spacing w:after="0" w:line="240" w:lineRule="auto"/>
      </w:pPr>
      <w:r>
        <w:separator/>
      </w:r>
    </w:p>
  </w:endnote>
  <w:endnote w:type="continuationSeparator" w:id="0">
    <w:p w:rsidR="004F5DC3" w:rsidRDefault="004F5DC3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DC3" w:rsidRDefault="004F5DC3">
    <w:pPr>
      <w:pStyle w:val="Footer"/>
      <w:jc w:val="center"/>
    </w:pPr>
    <w:fldSimple w:instr="PAGE   \* MERGEFORMAT">
      <w:r w:rsidRPr="00FC68D3">
        <w:rPr>
          <w:noProof/>
          <w:lang w:val="hu-HU"/>
        </w:rPr>
        <w:t>1</w:t>
      </w:r>
    </w:fldSimple>
  </w:p>
  <w:p w:rsidR="004F5DC3" w:rsidRDefault="004F5D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DC3" w:rsidRDefault="004F5DC3" w:rsidP="001E2511">
      <w:pPr>
        <w:spacing w:after="0" w:line="240" w:lineRule="auto"/>
      </w:pPr>
      <w:r>
        <w:separator/>
      </w:r>
    </w:p>
  </w:footnote>
  <w:footnote w:type="continuationSeparator" w:id="0">
    <w:p w:rsidR="004F5DC3" w:rsidRDefault="004F5DC3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466DF"/>
    <w:rsid w:val="000477F3"/>
    <w:rsid w:val="00052310"/>
    <w:rsid w:val="000526A8"/>
    <w:rsid w:val="00052FA7"/>
    <w:rsid w:val="00053F7B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305CC"/>
    <w:rsid w:val="0024017A"/>
    <w:rsid w:val="00247292"/>
    <w:rsid w:val="0027581F"/>
    <w:rsid w:val="00292B45"/>
    <w:rsid w:val="002A38FE"/>
    <w:rsid w:val="002C520A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775A7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4F5DC3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C3F54"/>
    <w:rsid w:val="005D02A8"/>
    <w:rsid w:val="005D2325"/>
    <w:rsid w:val="005D2886"/>
    <w:rsid w:val="005E3F44"/>
    <w:rsid w:val="0060024F"/>
    <w:rsid w:val="006020A3"/>
    <w:rsid w:val="00613951"/>
    <w:rsid w:val="00621C8B"/>
    <w:rsid w:val="00624A9E"/>
    <w:rsid w:val="006318D4"/>
    <w:rsid w:val="00632012"/>
    <w:rsid w:val="006541E7"/>
    <w:rsid w:val="00655222"/>
    <w:rsid w:val="00657D12"/>
    <w:rsid w:val="00661894"/>
    <w:rsid w:val="006636BE"/>
    <w:rsid w:val="006748A6"/>
    <w:rsid w:val="00676200"/>
    <w:rsid w:val="00687B5C"/>
    <w:rsid w:val="006921F5"/>
    <w:rsid w:val="006A7F09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541FD"/>
    <w:rsid w:val="00874D52"/>
    <w:rsid w:val="008822CE"/>
    <w:rsid w:val="00891C49"/>
    <w:rsid w:val="008A1CEC"/>
    <w:rsid w:val="008D03AC"/>
    <w:rsid w:val="008D71BF"/>
    <w:rsid w:val="008F4ADF"/>
    <w:rsid w:val="00901813"/>
    <w:rsid w:val="00903E3D"/>
    <w:rsid w:val="0091782A"/>
    <w:rsid w:val="00933324"/>
    <w:rsid w:val="00935232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01567"/>
    <w:rsid w:val="00B34403"/>
    <w:rsid w:val="00B35DB0"/>
    <w:rsid w:val="00B40AF0"/>
    <w:rsid w:val="00B40B61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2E87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505A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4FC"/>
    <w:rsid w:val="00F8047E"/>
    <w:rsid w:val="00FA1D94"/>
    <w:rsid w:val="00FA245B"/>
    <w:rsid w:val="00FA4697"/>
    <w:rsid w:val="00FC68D3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2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1536</Words>
  <Characters>10603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2018-03-26T08:06:00Z</dcterms:created>
  <dcterms:modified xsi:type="dcterms:W3CDTF">2020-06-25T13:42:00Z</dcterms:modified>
</cp:coreProperties>
</file>