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B473" w14:textId="77777777" w:rsidR="00FB666A" w:rsidRPr="00723D47" w:rsidRDefault="00FB666A" w:rsidP="00FB666A">
      <w:pPr>
        <w:ind w:firstLine="360"/>
        <w:rPr>
          <w:b/>
          <w:bCs/>
          <w:szCs w:val="22"/>
          <w:lang w:val="hu-HU"/>
        </w:rPr>
      </w:pPr>
      <w:r w:rsidRPr="00723D47">
        <w:rPr>
          <w:b/>
          <w:bCs/>
          <w:szCs w:val="22"/>
          <w:lang w:val="hu-HU"/>
        </w:rPr>
        <w:t>BIZONYOSSÁGOT NYÚJTÓ FÜGGETLEN</w:t>
      </w:r>
      <w:r>
        <w:rPr>
          <w:b/>
          <w:bCs/>
          <w:szCs w:val="22"/>
          <w:lang w:val="hu-HU"/>
        </w:rPr>
        <w:t xml:space="preserve"> </w:t>
      </w:r>
      <w:r w:rsidRPr="00723D47">
        <w:rPr>
          <w:b/>
          <w:bCs/>
          <w:szCs w:val="22"/>
          <w:lang w:val="hu-HU"/>
        </w:rPr>
        <w:t xml:space="preserve">JELENTÉS </w:t>
      </w:r>
    </w:p>
    <w:p w14:paraId="12567486" w14:textId="77777777" w:rsidR="00FB666A" w:rsidRPr="00723D47" w:rsidRDefault="00FB666A" w:rsidP="00FB666A">
      <w:pPr>
        <w:ind w:left="360"/>
        <w:rPr>
          <w:b/>
          <w:bCs/>
          <w:szCs w:val="22"/>
          <w:lang w:val="hu-HU"/>
        </w:rPr>
      </w:pPr>
    </w:p>
    <w:p w14:paraId="19C0FCDE" w14:textId="187FD63B" w:rsidR="00FB666A" w:rsidRPr="00AC3907" w:rsidRDefault="00FB666A" w:rsidP="00FB666A">
      <w:pPr>
        <w:ind w:left="360"/>
        <w:rPr>
          <w:b/>
          <w:szCs w:val="22"/>
          <w:lang w:val="hu-HU"/>
        </w:rPr>
      </w:pPr>
      <w:r w:rsidRPr="00D3067E">
        <w:rPr>
          <w:b/>
          <w:szCs w:val="22"/>
          <w:lang w:val="hu-HU"/>
        </w:rPr>
        <w:t>A Társaság vezeté</w:t>
      </w:r>
      <w:r w:rsidR="0037577B" w:rsidRPr="00D3067E">
        <w:rPr>
          <w:b/>
          <w:szCs w:val="22"/>
          <w:lang w:val="hu-HU"/>
        </w:rPr>
        <w:t>s</w:t>
      </w:r>
      <w:r w:rsidRPr="00D3067E">
        <w:rPr>
          <w:b/>
          <w:szCs w:val="22"/>
          <w:lang w:val="hu-HU"/>
        </w:rPr>
        <w:t>e részére</w:t>
      </w:r>
    </w:p>
    <w:p w14:paraId="1BB18F5E" w14:textId="77777777" w:rsidR="00FB666A" w:rsidRPr="00723D47" w:rsidRDefault="00FB666A" w:rsidP="00FB666A">
      <w:pPr>
        <w:ind w:left="360"/>
        <w:rPr>
          <w:szCs w:val="22"/>
          <w:highlight w:val="yellow"/>
          <w:lang w:val="hu-HU"/>
        </w:rPr>
      </w:pPr>
    </w:p>
    <w:p w14:paraId="05D5BDE7" w14:textId="4E1C6C19" w:rsidR="00FB666A" w:rsidRPr="00723D47" w:rsidRDefault="00FB666A" w:rsidP="00FB666A">
      <w:pPr>
        <w:ind w:left="360"/>
        <w:jc w:val="both"/>
        <w:rPr>
          <w:szCs w:val="22"/>
          <w:lang w:val="hu-HU"/>
        </w:rPr>
      </w:pPr>
      <w:r w:rsidRPr="00723D47">
        <w:rPr>
          <w:szCs w:val="22"/>
          <w:lang w:val="hu-HU"/>
        </w:rPr>
        <w:t xml:space="preserve">Megbízást kaptunk annak a vizsgálatára, hogy a </w:t>
      </w:r>
      <w:r w:rsidRPr="00723D47">
        <w:rPr>
          <w:i/>
          <w:szCs w:val="22"/>
          <w:lang w:val="hu-HU"/>
        </w:rPr>
        <w:t>XY  Társaság</w:t>
      </w:r>
      <w:r w:rsidRPr="00723D47">
        <w:rPr>
          <w:szCs w:val="22"/>
          <w:lang w:val="hu-HU"/>
        </w:rPr>
        <w:t xml:space="preserve"> (továbbiakban </w:t>
      </w:r>
      <w:r>
        <w:rPr>
          <w:szCs w:val="22"/>
          <w:lang w:val="hu-HU"/>
        </w:rPr>
        <w:t>„</w:t>
      </w:r>
      <w:r w:rsidRPr="00723D47">
        <w:rPr>
          <w:szCs w:val="22"/>
          <w:lang w:val="hu-HU"/>
        </w:rPr>
        <w:t>Társaság</w:t>
      </w:r>
      <w:r>
        <w:rPr>
          <w:szCs w:val="22"/>
          <w:lang w:val="hu-HU"/>
        </w:rPr>
        <w:t>”</w:t>
      </w:r>
      <w:r w:rsidRPr="00723D47">
        <w:rPr>
          <w:szCs w:val="22"/>
          <w:lang w:val="hu-HU"/>
        </w:rPr>
        <w:t xml:space="preserve">) </w:t>
      </w:r>
      <w:r>
        <w:rPr>
          <w:szCs w:val="22"/>
          <w:lang w:val="hu-HU"/>
        </w:rPr>
        <w:t xml:space="preserve">az éves beszámolójának az EU által befogadott </w:t>
      </w:r>
      <w:r w:rsidRPr="00723D47">
        <w:rPr>
          <w:iCs/>
          <w:spacing w:val="-2"/>
          <w:szCs w:val="22"/>
          <w:lang w:val="hu-HU"/>
        </w:rPr>
        <w:t xml:space="preserve">Nemzetközi Pénzügyi Beszámolási Standardok </w:t>
      </w:r>
      <w:r>
        <w:rPr>
          <w:iCs/>
          <w:spacing w:val="-2"/>
          <w:szCs w:val="22"/>
          <w:lang w:val="hu-HU"/>
        </w:rPr>
        <w:t xml:space="preserve"> </w:t>
      </w:r>
      <w:r w:rsidRPr="00723D47">
        <w:rPr>
          <w:iCs/>
          <w:spacing w:val="-2"/>
          <w:szCs w:val="22"/>
          <w:lang w:val="hu-HU"/>
        </w:rPr>
        <w:t>(</w:t>
      </w:r>
      <w:r>
        <w:rPr>
          <w:iCs/>
          <w:spacing w:val="-2"/>
          <w:szCs w:val="22"/>
          <w:lang w:val="hu-HU"/>
        </w:rPr>
        <w:t xml:space="preserve">továbbiakban </w:t>
      </w:r>
      <w:r w:rsidRPr="00723D47">
        <w:rPr>
          <w:iCs/>
          <w:spacing w:val="-2"/>
          <w:szCs w:val="22"/>
          <w:lang w:val="hu-HU"/>
        </w:rPr>
        <w:t>“</w:t>
      </w:r>
      <w:r w:rsidR="00432FA4">
        <w:rPr>
          <w:iCs/>
          <w:spacing w:val="-2"/>
          <w:szCs w:val="22"/>
          <w:lang w:val="hu-HU"/>
        </w:rPr>
        <w:t xml:space="preserve">EU </w:t>
      </w:r>
      <w:r w:rsidRPr="00723D47">
        <w:rPr>
          <w:iCs/>
          <w:spacing w:val="-2"/>
          <w:szCs w:val="22"/>
          <w:lang w:val="hu-HU"/>
        </w:rPr>
        <w:t xml:space="preserve">IFRS-ek”) </w:t>
      </w:r>
      <w:r w:rsidRPr="00723D47">
        <w:rPr>
          <w:szCs w:val="22"/>
          <w:lang w:val="hu-HU"/>
        </w:rPr>
        <w:t xml:space="preserve">szerinti </w:t>
      </w:r>
      <w:r>
        <w:rPr>
          <w:szCs w:val="22"/>
          <w:lang w:val="hu-HU"/>
        </w:rPr>
        <w:t xml:space="preserve">összeállítására </w:t>
      </w:r>
      <w:r w:rsidRPr="00723D47">
        <w:rPr>
          <w:szCs w:val="22"/>
          <w:lang w:val="hu-HU"/>
        </w:rPr>
        <w:t>történő</w:t>
      </w:r>
      <w:r>
        <w:rPr>
          <w:szCs w:val="22"/>
          <w:lang w:val="hu-HU"/>
        </w:rPr>
        <w:t>,</w:t>
      </w:r>
      <w:r w:rsidRPr="00723D47">
        <w:rPr>
          <w:szCs w:val="22"/>
          <w:lang w:val="hu-HU"/>
        </w:rPr>
        <w:t xml:space="preserve"> </w:t>
      </w:r>
      <w:r w:rsidRPr="00723D47">
        <w:rPr>
          <w:i/>
          <w:szCs w:val="22"/>
          <w:lang w:val="hu-HU"/>
        </w:rPr>
        <w:t>20X1 január 1</w:t>
      </w:r>
      <w:r w:rsidRPr="00723D47">
        <w:rPr>
          <w:szCs w:val="22"/>
          <w:lang w:val="hu-HU"/>
        </w:rPr>
        <w:t>-i nappal tervezett áttérés</w:t>
      </w:r>
      <w:r>
        <w:rPr>
          <w:szCs w:val="22"/>
          <w:lang w:val="hu-HU"/>
        </w:rPr>
        <w:t xml:space="preserve">hez </w:t>
      </w:r>
      <w:r w:rsidRPr="00723D47">
        <w:rPr>
          <w:szCs w:val="22"/>
          <w:lang w:val="hu-HU"/>
        </w:rPr>
        <w:t>a számvitel</w:t>
      </w:r>
      <w:r>
        <w:rPr>
          <w:szCs w:val="22"/>
          <w:lang w:val="hu-HU"/>
        </w:rPr>
        <w:t>ről szóló 2000. C.</w:t>
      </w:r>
      <w:r w:rsidRPr="00723D47">
        <w:rPr>
          <w:szCs w:val="22"/>
          <w:lang w:val="hu-HU"/>
        </w:rPr>
        <w:t xml:space="preserve"> törvény </w:t>
      </w:r>
      <w:r>
        <w:rPr>
          <w:szCs w:val="22"/>
          <w:lang w:val="hu-HU"/>
        </w:rPr>
        <w:t xml:space="preserve">(továbbiakban „számviteli törvény”) </w:t>
      </w:r>
      <w:r w:rsidRPr="00723D47">
        <w:rPr>
          <w:szCs w:val="22"/>
          <w:lang w:val="hu-HU"/>
        </w:rPr>
        <w:t>114/C. § (6) bekezdésében meghatározott feltétele</w:t>
      </w:r>
      <w:r>
        <w:rPr>
          <w:szCs w:val="22"/>
          <w:lang w:val="hu-HU"/>
        </w:rPr>
        <w:t>k</w:t>
      </w:r>
      <w:r w:rsidRPr="00723D47">
        <w:rPr>
          <w:szCs w:val="22"/>
          <w:lang w:val="hu-HU"/>
        </w:rPr>
        <w:t xml:space="preserve">nek </w:t>
      </w:r>
      <w:r>
        <w:rPr>
          <w:szCs w:val="22"/>
          <w:lang w:val="hu-HU"/>
        </w:rPr>
        <w:t xml:space="preserve">(továbbiakban „áttérés feltételei”) </w:t>
      </w:r>
      <w:r w:rsidRPr="00723D47">
        <w:rPr>
          <w:szCs w:val="22"/>
          <w:lang w:val="hu-HU"/>
        </w:rPr>
        <w:t>minden lényeges szempontból megfelelt-e</w:t>
      </w:r>
      <w:r>
        <w:rPr>
          <w:szCs w:val="22"/>
          <w:lang w:val="hu-HU"/>
        </w:rPr>
        <w:t>,</w:t>
      </w:r>
      <w:r w:rsidRPr="00723D47">
        <w:rPr>
          <w:szCs w:val="22"/>
          <w:lang w:val="hu-HU"/>
        </w:rPr>
        <w:t xml:space="preserve"> és arra, hogy </w:t>
      </w:r>
      <w:r>
        <w:rPr>
          <w:szCs w:val="22"/>
          <w:lang w:val="hu-HU"/>
        </w:rPr>
        <w:t>e</w:t>
      </w:r>
      <w:r w:rsidRPr="00723D47">
        <w:rPr>
          <w:szCs w:val="22"/>
          <w:lang w:val="hu-HU"/>
        </w:rPr>
        <w:t>rr</w:t>
      </w:r>
      <w:r>
        <w:rPr>
          <w:szCs w:val="22"/>
          <w:lang w:val="hu-HU"/>
        </w:rPr>
        <w:t>ől</w:t>
      </w:r>
      <w:r w:rsidRPr="00723D47">
        <w:rPr>
          <w:szCs w:val="22"/>
          <w:lang w:val="hu-HU"/>
        </w:rPr>
        <w:t xml:space="preserve"> kellő bizonyosságot nyújtó könyvvizsgálói jelentést bocsássunk ki. </w:t>
      </w:r>
    </w:p>
    <w:p w14:paraId="73E2F598" w14:textId="77777777" w:rsidR="00FB666A" w:rsidRPr="00723D47" w:rsidRDefault="00FB666A" w:rsidP="00FB666A">
      <w:pPr>
        <w:rPr>
          <w:b/>
          <w:bCs/>
          <w:szCs w:val="22"/>
          <w:lang w:val="hu-HU"/>
        </w:rPr>
      </w:pPr>
    </w:p>
    <w:p w14:paraId="64F4CEA3" w14:textId="7B4A5053" w:rsidR="00FB666A" w:rsidRPr="00723D47" w:rsidRDefault="00FB666A" w:rsidP="00FB666A">
      <w:pPr>
        <w:ind w:left="360"/>
        <w:rPr>
          <w:b/>
          <w:bCs/>
          <w:szCs w:val="22"/>
          <w:lang w:val="hu-HU"/>
        </w:rPr>
      </w:pPr>
      <w:r w:rsidRPr="00723D47">
        <w:rPr>
          <w:b/>
          <w:bCs/>
          <w:szCs w:val="22"/>
          <w:lang w:val="hu-HU"/>
        </w:rPr>
        <w:t>A vezet</w:t>
      </w:r>
      <w:r w:rsidR="0037577B">
        <w:rPr>
          <w:b/>
          <w:bCs/>
          <w:szCs w:val="22"/>
          <w:lang w:val="hu-HU"/>
        </w:rPr>
        <w:t>és</w:t>
      </w:r>
      <w:r w:rsidRPr="00723D47">
        <w:rPr>
          <w:b/>
          <w:bCs/>
          <w:szCs w:val="22"/>
          <w:lang w:val="hu-HU"/>
        </w:rPr>
        <w:t xml:space="preserve"> felelőssége</w:t>
      </w:r>
    </w:p>
    <w:p w14:paraId="1EA83E53" w14:textId="77777777" w:rsidR="00FB666A" w:rsidRPr="00723D47" w:rsidRDefault="00FB666A" w:rsidP="00FB666A">
      <w:pPr>
        <w:ind w:left="360"/>
        <w:rPr>
          <w:bCs/>
          <w:szCs w:val="22"/>
          <w:highlight w:val="yellow"/>
          <w:lang w:val="hu-HU"/>
        </w:rPr>
      </w:pPr>
    </w:p>
    <w:p w14:paraId="376BBA57" w14:textId="336BD7FF" w:rsidR="00FB666A" w:rsidRPr="00723D47" w:rsidRDefault="00FB666A" w:rsidP="00FB666A">
      <w:pPr>
        <w:ind w:left="360"/>
        <w:jc w:val="both"/>
        <w:rPr>
          <w:bCs/>
          <w:szCs w:val="22"/>
          <w:lang w:val="hu-HU"/>
        </w:rPr>
      </w:pPr>
      <w:r w:rsidRPr="00723D47">
        <w:rPr>
          <w:bCs/>
          <w:szCs w:val="22"/>
          <w:lang w:val="hu-HU"/>
        </w:rPr>
        <w:t xml:space="preserve">A vezetés felelős </w:t>
      </w:r>
      <w:r>
        <w:rPr>
          <w:bCs/>
          <w:szCs w:val="22"/>
          <w:lang w:val="hu-HU"/>
        </w:rPr>
        <w:t xml:space="preserve">az </w:t>
      </w:r>
      <w:r w:rsidRPr="00723D47">
        <w:rPr>
          <w:bCs/>
          <w:szCs w:val="22"/>
          <w:lang w:val="hu-HU"/>
        </w:rPr>
        <w:t xml:space="preserve">éves beszámoló </w:t>
      </w:r>
      <w:r w:rsidR="00432FA4">
        <w:rPr>
          <w:bCs/>
          <w:szCs w:val="22"/>
          <w:lang w:val="hu-HU"/>
        </w:rPr>
        <w:t xml:space="preserve">EU </w:t>
      </w:r>
      <w:r w:rsidRPr="00723D47">
        <w:rPr>
          <w:bCs/>
          <w:szCs w:val="22"/>
          <w:lang w:val="hu-HU"/>
        </w:rPr>
        <w:t xml:space="preserve">IFRS-ek szerinti </w:t>
      </w:r>
      <w:r>
        <w:rPr>
          <w:bCs/>
          <w:szCs w:val="22"/>
          <w:lang w:val="hu-HU"/>
        </w:rPr>
        <w:t xml:space="preserve">összeállítására </w:t>
      </w:r>
      <w:r w:rsidRPr="00723D47">
        <w:rPr>
          <w:bCs/>
          <w:szCs w:val="22"/>
          <w:lang w:val="hu-HU"/>
        </w:rPr>
        <w:t>történő áttérés feltételeként a számviteli törvényben meghatározott előírásoknak való megfelelésért</w:t>
      </w:r>
      <w:r w:rsidRPr="00723D47">
        <w:rPr>
          <w:szCs w:val="22"/>
          <w:lang w:val="hu-HU"/>
        </w:rPr>
        <w:t>.</w:t>
      </w:r>
      <w:r w:rsidRPr="00723D47" w:rsidDel="005368C6">
        <w:rPr>
          <w:bCs/>
          <w:szCs w:val="22"/>
          <w:lang w:val="hu-HU"/>
        </w:rPr>
        <w:t xml:space="preserve"> </w:t>
      </w:r>
    </w:p>
    <w:p w14:paraId="3AD85A52" w14:textId="77777777" w:rsidR="00FB666A" w:rsidRPr="00723D47" w:rsidRDefault="00FB666A" w:rsidP="00FB666A">
      <w:pPr>
        <w:ind w:left="360"/>
        <w:rPr>
          <w:b/>
          <w:bCs/>
          <w:szCs w:val="22"/>
          <w:lang w:val="hu-HU"/>
        </w:rPr>
      </w:pPr>
    </w:p>
    <w:p w14:paraId="190DD6E8" w14:textId="77777777" w:rsidR="00FB666A" w:rsidRPr="00723D47" w:rsidRDefault="00FB666A" w:rsidP="00FB666A">
      <w:pPr>
        <w:ind w:left="360"/>
        <w:rPr>
          <w:b/>
          <w:bCs/>
          <w:szCs w:val="22"/>
          <w:lang w:val="hu-HU"/>
        </w:rPr>
      </w:pPr>
      <w:r w:rsidRPr="00723D47">
        <w:rPr>
          <w:b/>
          <w:bCs/>
          <w:szCs w:val="22"/>
          <w:lang w:val="hu-HU"/>
        </w:rPr>
        <w:t>A vizsgálat tárgya és annak kritériumai</w:t>
      </w:r>
    </w:p>
    <w:p w14:paraId="42FA30F6" w14:textId="77777777" w:rsidR="00FB666A" w:rsidRPr="00723D47" w:rsidRDefault="00FB666A" w:rsidP="00FB666A">
      <w:pPr>
        <w:ind w:left="360"/>
        <w:rPr>
          <w:b/>
          <w:szCs w:val="22"/>
          <w:lang w:val="hu-HU"/>
        </w:rPr>
      </w:pPr>
    </w:p>
    <w:p w14:paraId="13352D6E" w14:textId="77777777" w:rsidR="00FB666A" w:rsidRPr="00723D47" w:rsidRDefault="00FB666A" w:rsidP="00FB666A">
      <w:pPr>
        <w:ind w:left="360"/>
        <w:jc w:val="both"/>
        <w:rPr>
          <w:szCs w:val="22"/>
          <w:lang w:val="hu-HU"/>
        </w:rPr>
      </w:pPr>
      <w:r w:rsidRPr="00723D47">
        <w:rPr>
          <w:bCs/>
          <w:szCs w:val="22"/>
          <w:lang w:val="hu-HU"/>
        </w:rPr>
        <w:t xml:space="preserve">Vizsgálatunk tárgya a Társaság által </w:t>
      </w:r>
      <w:r w:rsidRPr="00723D47">
        <w:rPr>
          <w:szCs w:val="22"/>
          <w:lang w:val="hu-HU"/>
        </w:rPr>
        <w:t>a számviteli törvény 114/C. § (6) bekezdésében meghatározott, az IFRS áttérésre vonatkozó szabályoknak való megfelelés, azaz annak vizsgálata, hogy a Társaság</w:t>
      </w:r>
    </w:p>
    <w:p w14:paraId="7A1C8330" w14:textId="77777777" w:rsidR="00FB666A" w:rsidRPr="00723D47" w:rsidRDefault="00FB666A" w:rsidP="00FB666A">
      <w:pPr>
        <w:ind w:left="360"/>
        <w:rPr>
          <w:szCs w:val="22"/>
          <w:lang w:val="hu-HU"/>
        </w:rPr>
      </w:pPr>
    </w:p>
    <w:p w14:paraId="32E1CB6A" w14:textId="77777777" w:rsidR="00FB666A" w:rsidRPr="00723D47" w:rsidRDefault="00FB666A" w:rsidP="00FB666A">
      <w:pPr>
        <w:pStyle w:val="Listaszerbekezds"/>
        <w:numPr>
          <w:ilvl w:val="0"/>
          <w:numId w:val="3"/>
        </w:numPr>
        <w:overflowPunct/>
        <w:autoSpaceDE/>
        <w:autoSpaceDN/>
        <w:adjustRightInd/>
        <w:spacing w:before="0" w:after="120" w:line="240" w:lineRule="auto"/>
        <w:jc w:val="both"/>
        <w:textAlignment w:val="auto"/>
        <w:rPr>
          <w:szCs w:val="22"/>
          <w:lang w:val="hu-HU"/>
        </w:rPr>
      </w:pPr>
      <w:r w:rsidRPr="00723D47">
        <w:rPr>
          <w:szCs w:val="22"/>
          <w:lang w:val="hu-HU"/>
        </w:rPr>
        <w:t>alkalmaz-e az IFRS-ek szerinti éves beszámolója összeállítás</w:t>
      </w:r>
      <w:r>
        <w:rPr>
          <w:szCs w:val="22"/>
          <w:lang w:val="hu-HU"/>
        </w:rPr>
        <w:t>á</w:t>
      </w:r>
      <w:r w:rsidRPr="00723D47">
        <w:rPr>
          <w:szCs w:val="22"/>
          <w:lang w:val="hu-HU"/>
        </w:rPr>
        <w:t>hoz a számviteli törvény 10. § (6) bekezdése szerinti minősítéssel rendelkező személyt,</w:t>
      </w:r>
    </w:p>
    <w:p w14:paraId="1B456878" w14:textId="77777777" w:rsidR="00FB666A" w:rsidRPr="00723D47" w:rsidRDefault="00FB666A" w:rsidP="00FB666A">
      <w:pPr>
        <w:pStyle w:val="Listaszerbekezds"/>
        <w:numPr>
          <w:ilvl w:val="0"/>
          <w:numId w:val="3"/>
        </w:numPr>
        <w:overflowPunct/>
        <w:autoSpaceDE/>
        <w:autoSpaceDN/>
        <w:adjustRightInd/>
        <w:spacing w:before="0" w:after="120" w:line="240" w:lineRule="auto"/>
        <w:jc w:val="both"/>
        <w:textAlignment w:val="auto"/>
        <w:rPr>
          <w:szCs w:val="22"/>
          <w:lang w:val="hu-HU"/>
        </w:rPr>
      </w:pPr>
      <w:r w:rsidRPr="00723D47">
        <w:rPr>
          <w:szCs w:val="22"/>
          <w:lang w:val="hu-HU"/>
        </w:rPr>
        <w:t>rendelkezik-e az IFRS-ek szerint összeállított és jóváhagyott számviteli politikával,</w:t>
      </w:r>
    </w:p>
    <w:p w14:paraId="50C57798" w14:textId="4B4A0E1A" w:rsidR="00FB666A" w:rsidRPr="00723D47" w:rsidRDefault="00FB666A" w:rsidP="00FB666A">
      <w:pPr>
        <w:pStyle w:val="Listaszerbekezds"/>
        <w:numPr>
          <w:ilvl w:val="0"/>
          <w:numId w:val="3"/>
        </w:numPr>
        <w:overflowPunct/>
        <w:autoSpaceDE/>
        <w:autoSpaceDN/>
        <w:adjustRightInd/>
        <w:spacing w:before="0" w:after="120" w:line="240" w:lineRule="auto"/>
        <w:jc w:val="both"/>
        <w:textAlignment w:val="auto"/>
        <w:rPr>
          <w:szCs w:val="22"/>
          <w:lang w:val="hu-HU"/>
        </w:rPr>
      </w:pPr>
      <w:r w:rsidRPr="00723D47">
        <w:rPr>
          <w:szCs w:val="22"/>
          <w:lang w:val="hu-HU"/>
        </w:rPr>
        <w:t xml:space="preserve">rendelkezik-e az áttérés éve előtti üzleti év első napjára vonatkozóan összeállított </w:t>
      </w:r>
      <w:r w:rsidR="00432FA4">
        <w:rPr>
          <w:szCs w:val="22"/>
          <w:lang w:val="hu-HU"/>
        </w:rPr>
        <w:t xml:space="preserve">EU </w:t>
      </w:r>
      <w:r w:rsidRPr="00723D47">
        <w:rPr>
          <w:szCs w:val="22"/>
          <w:lang w:val="hu-HU"/>
        </w:rPr>
        <w:t>IFRS-ek szerinti mérleggel („IFRS nyitómérleg”).</w:t>
      </w:r>
    </w:p>
    <w:p w14:paraId="4289DE4E" w14:textId="77777777" w:rsidR="00FB666A" w:rsidRPr="00723D47" w:rsidRDefault="00FB666A" w:rsidP="00FB666A">
      <w:pPr>
        <w:ind w:left="360"/>
        <w:rPr>
          <w:szCs w:val="22"/>
          <w:lang w:val="hu-HU"/>
        </w:rPr>
      </w:pPr>
    </w:p>
    <w:p w14:paraId="3E22393E" w14:textId="77777777" w:rsidR="00FB666A" w:rsidRPr="00723D47" w:rsidRDefault="00FB666A" w:rsidP="00FB666A">
      <w:pPr>
        <w:ind w:left="360"/>
        <w:rPr>
          <w:b/>
          <w:bCs/>
          <w:szCs w:val="22"/>
          <w:lang w:val="hu-HU"/>
        </w:rPr>
      </w:pPr>
      <w:r w:rsidRPr="00723D47">
        <w:rPr>
          <w:b/>
          <w:bCs/>
          <w:szCs w:val="22"/>
          <w:lang w:val="hu-HU"/>
        </w:rPr>
        <w:t>A mi felelősségünk</w:t>
      </w:r>
    </w:p>
    <w:p w14:paraId="41FAD05F" w14:textId="77777777" w:rsidR="00FB666A" w:rsidRPr="00723D47" w:rsidRDefault="00FB666A" w:rsidP="00FB666A">
      <w:pPr>
        <w:ind w:left="360"/>
        <w:rPr>
          <w:szCs w:val="22"/>
          <w:lang w:val="hu-HU"/>
        </w:rPr>
      </w:pPr>
    </w:p>
    <w:p w14:paraId="4E18A5FA" w14:textId="730BEBAF" w:rsidR="00FB666A" w:rsidRPr="00723D47" w:rsidRDefault="00FB666A" w:rsidP="00FB666A">
      <w:pPr>
        <w:ind w:left="360"/>
        <w:jc w:val="both"/>
        <w:rPr>
          <w:szCs w:val="22"/>
          <w:lang w:val="hu-HU"/>
        </w:rPr>
      </w:pPr>
      <w:r w:rsidRPr="00723D47">
        <w:rPr>
          <w:szCs w:val="22"/>
          <w:lang w:val="hu-HU"/>
        </w:rPr>
        <w:t xml:space="preserve">A mi felelősségünk az elvégzett munkánk alapján jelentést tenni arról, hogy a Társaság teljesítette-e az áttérés feltételeit a számviteli törvény 114/C. </w:t>
      </w:r>
      <w:r w:rsidR="00432FA4">
        <w:rPr>
          <w:szCs w:val="22"/>
          <w:lang w:val="hu-HU"/>
        </w:rPr>
        <w:t xml:space="preserve">§ </w:t>
      </w:r>
      <w:r w:rsidRPr="00723D47">
        <w:rPr>
          <w:szCs w:val="22"/>
          <w:lang w:val="hu-HU"/>
        </w:rPr>
        <w:t>(6) bekezdésének megfelelően.</w:t>
      </w:r>
      <w:r w:rsidRPr="00723D47" w:rsidDel="00A65875">
        <w:rPr>
          <w:szCs w:val="22"/>
          <w:lang w:val="hu-HU"/>
        </w:rPr>
        <w:t xml:space="preserve"> </w:t>
      </w:r>
    </w:p>
    <w:p w14:paraId="22A43D04" w14:textId="130DC412" w:rsidR="00FB666A" w:rsidRPr="00723D47" w:rsidRDefault="00FB666A" w:rsidP="00FB666A">
      <w:pPr>
        <w:ind w:left="360"/>
        <w:jc w:val="both"/>
        <w:rPr>
          <w:szCs w:val="22"/>
          <w:lang w:val="hu-HU"/>
        </w:rPr>
      </w:pPr>
      <w:r w:rsidRPr="00723D47">
        <w:rPr>
          <w:szCs w:val="22"/>
          <w:lang w:val="hu-HU"/>
        </w:rPr>
        <w:t>A megbízást a bizonyosságot nyújtó megbízásokra vonatkozó nemzetközi standardnak (“ISAE 3000</w:t>
      </w:r>
      <w:r w:rsidR="00836B71">
        <w:rPr>
          <w:szCs w:val="22"/>
          <w:lang w:val="hu-HU"/>
        </w:rPr>
        <w:t xml:space="preserve"> (Felülvizsgált)</w:t>
      </w:r>
      <w:r w:rsidRPr="00723D47">
        <w:rPr>
          <w:szCs w:val="22"/>
          <w:lang w:val="hu-HU"/>
        </w:rPr>
        <w:t>”) – „Múltbeli pénzügyi információk könyvvizsgálatán vagy átvilágításán kívüli, bizonyosságot nyújtó szolgáltatások</w:t>
      </w:r>
      <w:r w:rsidR="003C3A09">
        <w:rPr>
          <w:szCs w:val="22"/>
          <w:lang w:val="hu-HU"/>
        </w:rPr>
        <w:t>ra szóló megbízások</w:t>
      </w:r>
      <w:r w:rsidRPr="00723D47">
        <w:rPr>
          <w:szCs w:val="22"/>
          <w:lang w:val="hu-HU"/>
        </w:rPr>
        <w:t xml:space="preserve">” – megfelelően hajtottuk végre. Ez a standard megköveteli, hogy a munkánkat úgy tervezzük meg és hajtsuk végre, hogy kellő bizonyosságot szerezzünk arról, hogy a Társaság minden lényeges vonatkozásban megfelel az éves beszámoló IFRS-ek szerinti összeállítására történő áttérés számviteli törvény 114/C. § (6) bekezdésében meghatározott feltételeinek. </w:t>
      </w:r>
    </w:p>
    <w:p w14:paraId="11C58A16" w14:textId="796A16E8" w:rsidR="00FB666A" w:rsidRDefault="00FB666A" w:rsidP="00FB666A">
      <w:pPr>
        <w:ind w:left="360"/>
        <w:jc w:val="both"/>
        <w:rPr>
          <w:szCs w:val="22"/>
          <w:lang w:val="hu-HU"/>
        </w:rPr>
      </w:pPr>
      <w:r>
        <w:rPr>
          <w:szCs w:val="22"/>
          <w:lang w:val="hu-HU"/>
        </w:rPr>
        <w:t>Alkalmazzuk a</w:t>
      </w:r>
      <w:r w:rsidR="00432FA4">
        <w:rPr>
          <w:szCs w:val="22"/>
          <w:lang w:val="hu-HU"/>
        </w:rPr>
        <w:t xml:space="preserve"> </w:t>
      </w:r>
      <w:r>
        <w:rPr>
          <w:szCs w:val="22"/>
          <w:lang w:val="hu-HU"/>
        </w:rPr>
        <w:t>nemzetközi minőségellenőrzési standard</w:t>
      </w:r>
      <w:r w:rsidR="00432FA4">
        <w:rPr>
          <w:szCs w:val="22"/>
          <w:lang w:val="hu-HU"/>
        </w:rPr>
        <w:t>dal</w:t>
      </w:r>
      <w:r>
        <w:rPr>
          <w:szCs w:val="22"/>
          <w:lang w:val="hu-HU"/>
        </w:rPr>
        <w:t xml:space="preserve"> (ISQC 1)</w:t>
      </w:r>
      <w:r w:rsidR="00432FA4">
        <w:rPr>
          <w:szCs w:val="22"/>
          <w:lang w:val="hu-HU"/>
        </w:rPr>
        <w:t xml:space="preserve"> minden tekintetben megegyező 1. témaszámú magyar nemzeti standard</w:t>
      </w:r>
      <w:r>
        <w:rPr>
          <w:szCs w:val="22"/>
          <w:lang w:val="hu-HU"/>
        </w:rPr>
        <w:t xml:space="preserve"> –„Minőség-ellenőrzés a pénzügyi kimutatások könyvvizsgálatával és átvilágításával, valamint az egyéb bizonyosságot nyújtó és kapcsolódó szolgáltatási megbízások végrehajtásával foglalkozó társaságok esetében”- előírásait és ennek megfelelően átfogó minőségellenőrzései rendszert tartunk fenn, beleértve az etikai </w:t>
      </w:r>
      <w:r>
        <w:rPr>
          <w:szCs w:val="22"/>
          <w:lang w:val="hu-HU"/>
        </w:rPr>
        <w:lastRenderedPageBreak/>
        <w:t>követelményeknek, szakmai standardoknak és a vonatkozó jogi és szabályozási előírásoknak megfelelő, dokumentált politikákat és eljárásokat.</w:t>
      </w:r>
    </w:p>
    <w:p w14:paraId="624F3A58" w14:textId="42CE2400" w:rsidR="00FB666A" w:rsidRPr="00945701" w:rsidRDefault="00FB666A" w:rsidP="00FB666A">
      <w:pPr>
        <w:ind w:left="360"/>
        <w:jc w:val="both"/>
        <w:rPr>
          <w:szCs w:val="22"/>
          <w:lang w:val="hu-HU"/>
        </w:rPr>
      </w:pPr>
      <w:r w:rsidRPr="002A2C32">
        <w:rPr>
          <w:szCs w:val="22"/>
          <w:lang w:val="hu-HU"/>
        </w:rPr>
        <w:t xml:space="preserve">Megfelelünk a </w:t>
      </w:r>
      <w:r w:rsidRPr="000178E3">
        <w:rPr>
          <w:lang w:val="hu-HU"/>
        </w:rPr>
        <w:t xml:space="preserve">tisztesség, objektivitás, szakmai hozzáértés és megfelelő gondosság, titoktartás </w:t>
      </w:r>
      <w:r>
        <w:rPr>
          <w:lang w:val="hu-HU"/>
        </w:rPr>
        <w:t xml:space="preserve">és </w:t>
      </w:r>
      <w:r w:rsidRPr="000178E3">
        <w:rPr>
          <w:lang w:val="hu-HU"/>
        </w:rPr>
        <w:t>hivatáshoz méltó magatartás alapelve</w:t>
      </w:r>
      <w:r>
        <w:rPr>
          <w:lang w:val="hu-HU"/>
        </w:rPr>
        <w:t>in nyugvó</w:t>
      </w:r>
      <w:r w:rsidRPr="000178E3">
        <w:rPr>
          <w:lang w:val="hu-HU"/>
        </w:rPr>
        <w:t xml:space="preserve">, </w:t>
      </w:r>
      <w:r w:rsidR="00CC2A8D" w:rsidRPr="00D3067E">
        <w:rPr>
          <w:szCs w:val="22"/>
          <w:lang w:val="hu-HU"/>
        </w:rPr>
        <w:t xml:space="preserve">a Magyarországon hatályos jogszabályokban és a Magyar Könyvvizsgálói Kamara „A könyvvizsgálói hivatás magatartási (etikai) szabályairól és a fegyelmi eljárásról szóló szabályzata”-ban, valamint az ezekben nem rendezett kérdések tekintetében a Könyvvizsgálók Nemzetközi Etikai Standardok Testülete által kiadott „Nemzetközi Etikai Kódex kamarai tag könyvvizsgálóknak (a Nemzetközi Függetlenségi Standardokkal egybefoglalva)” című kézikönyvében  </w:t>
      </w:r>
      <w:r w:rsidR="00CC2A8D" w:rsidRPr="00D3067E" w:rsidDel="008C733E">
        <w:rPr>
          <w:szCs w:val="22"/>
          <w:lang w:val="hu-HU"/>
        </w:rPr>
        <w:t>(</w:t>
      </w:r>
      <w:r w:rsidR="00CC2A8D" w:rsidRPr="00D3067E">
        <w:rPr>
          <w:szCs w:val="22"/>
          <w:lang w:val="hu-HU"/>
        </w:rPr>
        <w:t>az „IESBA Kódex”-ben) foglaltaknak, és megfelelünk az ugyanezen normákban szereplő további etikai előírásoknak is.</w:t>
      </w:r>
      <w:r w:rsidRPr="00945701">
        <w:rPr>
          <w:szCs w:val="22"/>
          <w:lang w:val="hu-HU"/>
        </w:rPr>
        <w:t xml:space="preserve">. </w:t>
      </w:r>
    </w:p>
    <w:p w14:paraId="147E1F55" w14:textId="77777777" w:rsidR="00FB666A" w:rsidRPr="00723D47" w:rsidRDefault="00FB666A" w:rsidP="00FB666A">
      <w:pPr>
        <w:ind w:left="360"/>
        <w:jc w:val="both"/>
        <w:rPr>
          <w:szCs w:val="22"/>
          <w:lang w:val="hu-HU"/>
        </w:rPr>
      </w:pPr>
    </w:p>
    <w:p w14:paraId="4584BFCB" w14:textId="77777777" w:rsidR="00FB666A" w:rsidRPr="00723D47" w:rsidRDefault="00FB666A" w:rsidP="00FB666A">
      <w:pPr>
        <w:ind w:left="360"/>
        <w:rPr>
          <w:b/>
          <w:bCs/>
          <w:szCs w:val="22"/>
          <w:lang w:val="hu-HU"/>
        </w:rPr>
      </w:pPr>
      <w:r w:rsidRPr="00723D47">
        <w:rPr>
          <w:b/>
          <w:bCs/>
          <w:szCs w:val="22"/>
          <w:lang w:val="hu-HU"/>
        </w:rPr>
        <w:t>Az elvégzett munka összefoglalása</w:t>
      </w:r>
    </w:p>
    <w:p w14:paraId="10BEA644" w14:textId="77777777" w:rsidR="00FB666A" w:rsidRPr="00723D47" w:rsidRDefault="00FB666A" w:rsidP="00FB666A">
      <w:pPr>
        <w:ind w:left="360"/>
        <w:rPr>
          <w:b/>
          <w:bCs/>
          <w:szCs w:val="22"/>
          <w:lang w:val="hu-HU"/>
        </w:rPr>
      </w:pPr>
    </w:p>
    <w:p w14:paraId="7CFD382B" w14:textId="77777777" w:rsidR="00FB666A" w:rsidRPr="00723D47" w:rsidRDefault="00FB666A" w:rsidP="00FB666A">
      <w:pPr>
        <w:tabs>
          <w:tab w:val="left" w:pos="360"/>
        </w:tabs>
        <w:ind w:left="360"/>
        <w:rPr>
          <w:szCs w:val="22"/>
          <w:lang w:val="hu-HU"/>
        </w:rPr>
      </w:pPr>
      <w:r w:rsidRPr="00723D47">
        <w:rPr>
          <w:szCs w:val="22"/>
          <w:lang w:val="hu-HU"/>
        </w:rPr>
        <w:t>Munkánk keretében az alábbi eljárásokat végeztük el:</w:t>
      </w:r>
    </w:p>
    <w:p w14:paraId="1960D60A" w14:textId="75FDBAC3" w:rsidR="00FB666A" w:rsidRPr="00723D47" w:rsidRDefault="00FB666A" w:rsidP="00FB666A">
      <w:pPr>
        <w:pStyle w:val="BodySingle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hAnsi="Times New Roman"/>
          <w:sz w:val="22"/>
          <w:szCs w:val="22"/>
          <w:lang w:val="hu-HU"/>
        </w:rPr>
      </w:pPr>
      <w:r w:rsidRPr="00723D47">
        <w:rPr>
          <w:rFonts w:ascii="Times New Roman" w:hAnsi="Times New Roman"/>
          <w:sz w:val="22"/>
          <w:szCs w:val="22"/>
          <w:lang w:val="hu-HU"/>
        </w:rPr>
        <w:t xml:space="preserve">Nyilvánosan elérhető adatbázisok alapján megvizsgáltuk, hogy az </w:t>
      </w:r>
      <w:r w:rsidR="00432FA4">
        <w:rPr>
          <w:rFonts w:ascii="Times New Roman" w:hAnsi="Times New Roman"/>
          <w:sz w:val="22"/>
          <w:szCs w:val="22"/>
          <w:lang w:val="hu-HU"/>
        </w:rPr>
        <w:t xml:space="preserve">EU </w:t>
      </w:r>
      <w:r w:rsidRPr="00723D47">
        <w:rPr>
          <w:rFonts w:ascii="Times New Roman" w:hAnsi="Times New Roman"/>
          <w:sz w:val="22"/>
          <w:szCs w:val="22"/>
          <w:lang w:val="hu-HU"/>
        </w:rPr>
        <w:t xml:space="preserve">IFRS-ek szerinti éves beszámoló elkészítésére a Társaság által kijelölt személy </w:t>
      </w:r>
    </w:p>
    <w:p w14:paraId="33000065" w14:textId="7947DB2E" w:rsidR="00FB666A" w:rsidRPr="00723D47" w:rsidRDefault="00FB666A" w:rsidP="00FB666A">
      <w:pPr>
        <w:pStyle w:val="BodySingle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ind w:left="1066" w:hanging="357"/>
        <w:jc w:val="both"/>
        <w:rPr>
          <w:rFonts w:ascii="Times New Roman" w:hAnsi="Times New Roman"/>
          <w:sz w:val="22"/>
          <w:szCs w:val="22"/>
          <w:lang w:val="hu-HU"/>
        </w:rPr>
      </w:pPr>
      <w:r w:rsidRPr="00723D47">
        <w:rPr>
          <w:rFonts w:ascii="Times New Roman" w:hAnsi="Times New Roman"/>
          <w:sz w:val="22"/>
          <w:szCs w:val="22"/>
          <w:lang w:val="hu-HU"/>
        </w:rPr>
        <w:t xml:space="preserve">IFRS regisztrálási szakterületen szerepel-e könyvviteli szolgáltatást végzőknek a számviteli törvény által előírt és a </w:t>
      </w:r>
      <w:r w:rsidR="00CC2A8D">
        <w:rPr>
          <w:rFonts w:ascii="Times New Roman" w:hAnsi="Times New Roman"/>
          <w:sz w:val="22"/>
          <w:szCs w:val="22"/>
          <w:lang w:val="hu-HU"/>
        </w:rPr>
        <w:t>Pénzügym</w:t>
      </w:r>
      <w:r w:rsidRPr="00723D47">
        <w:rPr>
          <w:rFonts w:ascii="Times New Roman" w:hAnsi="Times New Roman"/>
          <w:sz w:val="22"/>
          <w:szCs w:val="22"/>
          <w:lang w:val="hu-HU"/>
        </w:rPr>
        <w:t xml:space="preserve">inisztérium által közzétett nyilvántartásában, vagy </w:t>
      </w:r>
    </w:p>
    <w:p w14:paraId="221BF677" w14:textId="77777777" w:rsidR="00FB666A" w:rsidRPr="00723D47" w:rsidRDefault="00FB666A" w:rsidP="00FB666A">
      <w:pPr>
        <w:pStyle w:val="BodySingle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ind w:left="1066" w:hanging="357"/>
        <w:jc w:val="both"/>
        <w:rPr>
          <w:rFonts w:ascii="Times New Roman" w:hAnsi="Times New Roman"/>
          <w:sz w:val="22"/>
          <w:szCs w:val="22"/>
          <w:lang w:val="hu-HU"/>
        </w:rPr>
      </w:pPr>
      <w:r w:rsidRPr="00723D47">
        <w:rPr>
          <w:rFonts w:ascii="Times New Roman" w:hAnsi="Times New Roman"/>
          <w:sz w:val="22"/>
          <w:szCs w:val="22"/>
          <w:lang w:val="hu-HU"/>
        </w:rPr>
        <w:t>IFRS minősítéssel rendelkező kamarai tag könyvvizsgáló-e.</w:t>
      </w:r>
    </w:p>
    <w:p w14:paraId="25CAE98E" w14:textId="54B062FB" w:rsidR="00FB666A" w:rsidRPr="00723D47" w:rsidRDefault="00FB666A" w:rsidP="00FB666A">
      <w:pPr>
        <w:pStyle w:val="BodySingle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hAnsi="Times New Roman"/>
          <w:sz w:val="22"/>
          <w:szCs w:val="22"/>
          <w:lang w:val="hu-HU"/>
        </w:rPr>
      </w:pPr>
      <w:r w:rsidRPr="00723D47">
        <w:rPr>
          <w:rFonts w:ascii="Times New Roman" w:hAnsi="Times New Roman"/>
          <w:sz w:val="22"/>
          <w:szCs w:val="22"/>
          <w:lang w:val="hu-HU"/>
        </w:rPr>
        <w:t xml:space="preserve">Megvizsgáltuk, hogy a Társaság </w:t>
      </w:r>
      <w:r>
        <w:rPr>
          <w:rFonts w:ascii="Times New Roman" w:hAnsi="Times New Roman"/>
          <w:sz w:val="22"/>
          <w:szCs w:val="22"/>
          <w:lang w:val="hu-HU"/>
        </w:rPr>
        <w:t xml:space="preserve">által kidolgozott és megfelelő személyek által jóváhagyott </w:t>
      </w:r>
      <w:r w:rsidR="00CC2A8D" w:rsidRPr="0073536F">
        <w:rPr>
          <w:rFonts w:ascii="Times New Roman" w:hAnsi="Times New Roman"/>
          <w:i/>
          <w:sz w:val="22"/>
          <w:szCs w:val="22"/>
          <w:lang w:val="hu-HU"/>
        </w:rPr>
        <w:t>20X1. hónap nap</w:t>
      </w:r>
      <w:r w:rsidR="00CC2A8D">
        <w:rPr>
          <w:rFonts w:ascii="Times New Roman" w:hAnsi="Times New Roman"/>
          <w:sz w:val="22"/>
          <w:szCs w:val="22"/>
          <w:lang w:val="hu-HU"/>
        </w:rPr>
        <w:t xml:space="preserve"> kelt</w:t>
      </w:r>
      <w:r w:rsidR="007D3236">
        <w:rPr>
          <w:rFonts w:ascii="Times New Roman" w:hAnsi="Times New Roman"/>
          <w:sz w:val="22"/>
          <w:szCs w:val="22"/>
          <w:lang w:val="hu-HU"/>
        </w:rPr>
        <w:t>ezés</w:t>
      </w:r>
      <w:r w:rsidR="00CC2A8D">
        <w:rPr>
          <w:rFonts w:ascii="Times New Roman" w:hAnsi="Times New Roman"/>
          <w:sz w:val="22"/>
          <w:szCs w:val="22"/>
          <w:lang w:val="hu-HU"/>
        </w:rPr>
        <w:t xml:space="preserve">ű </w:t>
      </w:r>
      <w:r w:rsidRPr="00723D47">
        <w:rPr>
          <w:rFonts w:ascii="Times New Roman" w:hAnsi="Times New Roman"/>
          <w:sz w:val="22"/>
          <w:szCs w:val="22"/>
          <w:lang w:val="hu-HU"/>
        </w:rPr>
        <w:t xml:space="preserve">számviteli politika összhangban van-e az </w:t>
      </w:r>
      <w:r w:rsidR="00432FA4">
        <w:rPr>
          <w:rFonts w:ascii="Times New Roman" w:hAnsi="Times New Roman"/>
          <w:sz w:val="22"/>
          <w:szCs w:val="22"/>
          <w:lang w:val="hu-HU"/>
        </w:rPr>
        <w:t xml:space="preserve">EU </w:t>
      </w:r>
      <w:r w:rsidRPr="00723D47">
        <w:rPr>
          <w:rFonts w:ascii="Times New Roman" w:hAnsi="Times New Roman"/>
          <w:sz w:val="22"/>
          <w:szCs w:val="22"/>
          <w:lang w:val="hu-HU"/>
        </w:rPr>
        <w:t xml:space="preserve">IFRS-ek előírásaival. </w:t>
      </w:r>
    </w:p>
    <w:p w14:paraId="746EBA82" w14:textId="7AD73191" w:rsidR="00FB666A" w:rsidRPr="000178E3" w:rsidRDefault="00FB666A" w:rsidP="00FB666A">
      <w:pPr>
        <w:pStyle w:val="BodySingle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imes New Roman" w:hAnsi="Times New Roman"/>
          <w:sz w:val="22"/>
          <w:szCs w:val="22"/>
          <w:lang w:val="hu-HU"/>
        </w:rPr>
      </w:pPr>
      <w:r w:rsidRPr="000178E3">
        <w:rPr>
          <w:rFonts w:ascii="Times New Roman" w:hAnsi="Times New Roman"/>
          <w:sz w:val="22"/>
          <w:szCs w:val="22"/>
          <w:lang w:val="hu-HU"/>
        </w:rPr>
        <w:t xml:space="preserve">Megvizsgáltuk, hogy a Társaság elkészítette-e a </w:t>
      </w:r>
      <w:r w:rsidRPr="0073536F">
        <w:rPr>
          <w:rFonts w:ascii="Times New Roman" w:hAnsi="Times New Roman"/>
          <w:i/>
          <w:sz w:val="22"/>
          <w:szCs w:val="22"/>
          <w:lang w:val="hu-HU"/>
        </w:rPr>
        <w:t>20X0. január 1</w:t>
      </w:r>
      <w:r w:rsidRPr="000178E3">
        <w:rPr>
          <w:rFonts w:ascii="Times New Roman" w:hAnsi="Times New Roman"/>
          <w:sz w:val="22"/>
          <w:szCs w:val="22"/>
          <w:lang w:val="hu-HU"/>
        </w:rPr>
        <w:t xml:space="preserve">-i, azaz az áttérés éve előtti üzleti év első napjára vonatkozó mérleget a Társaság fent hivatkozott </w:t>
      </w:r>
      <w:r w:rsidR="00432FA4">
        <w:rPr>
          <w:rFonts w:ascii="Times New Roman" w:hAnsi="Times New Roman"/>
          <w:sz w:val="22"/>
          <w:szCs w:val="22"/>
          <w:lang w:val="hu-HU"/>
        </w:rPr>
        <w:t xml:space="preserve">EU </w:t>
      </w:r>
      <w:r w:rsidRPr="000178E3">
        <w:rPr>
          <w:rFonts w:ascii="Times New Roman" w:hAnsi="Times New Roman"/>
          <w:sz w:val="22"/>
          <w:szCs w:val="22"/>
          <w:lang w:val="hu-HU"/>
        </w:rPr>
        <w:t xml:space="preserve">IFRS-ek szerinti számviteli politikájának megfelelően. </w:t>
      </w:r>
    </w:p>
    <w:p w14:paraId="56F609D5" w14:textId="77777777" w:rsidR="00FB666A" w:rsidRPr="00723D47" w:rsidRDefault="00FB666A" w:rsidP="00FB666A">
      <w:pPr>
        <w:tabs>
          <w:tab w:val="left" w:pos="360"/>
        </w:tabs>
        <w:ind w:left="360"/>
        <w:rPr>
          <w:szCs w:val="22"/>
          <w:lang w:val="hu-HU"/>
        </w:rPr>
      </w:pPr>
    </w:p>
    <w:p w14:paraId="37E40CEB" w14:textId="77777777" w:rsidR="00FB666A" w:rsidRPr="00723D47" w:rsidRDefault="00FB666A" w:rsidP="00432FA4">
      <w:pPr>
        <w:tabs>
          <w:tab w:val="left" w:pos="360"/>
        </w:tabs>
        <w:ind w:left="360"/>
        <w:jc w:val="both"/>
        <w:rPr>
          <w:szCs w:val="22"/>
          <w:lang w:val="hu-HU"/>
        </w:rPr>
      </w:pPr>
      <w:r w:rsidRPr="00723D47">
        <w:rPr>
          <w:szCs w:val="22"/>
          <w:lang w:val="hu-HU"/>
        </w:rPr>
        <w:t>Meggyőződésünk, hogy a megszerzett bizonyíték elegendő és megfelelő alapot nyújt a következtetésünk megadásához.</w:t>
      </w:r>
    </w:p>
    <w:p w14:paraId="42D0535C" w14:textId="77777777" w:rsidR="00FB666A" w:rsidRPr="00723D47" w:rsidRDefault="00FB666A" w:rsidP="00FB666A">
      <w:pPr>
        <w:tabs>
          <w:tab w:val="left" w:pos="360"/>
        </w:tabs>
        <w:ind w:left="360"/>
        <w:rPr>
          <w:szCs w:val="22"/>
          <w:lang w:val="hu-HU"/>
        </w:rPr>
      </w:pPr>
    </w:p>
    <w:p w14:paraId="4D1ACEE8" w14:textId="77777777" w:rsidR="00FB666A" w:rsidRPr="00723D47" w:rsidRDefault="00FB666A" w:rsidP="00FB666A">
      <w:pPr>
        <w:ind w:left="360"/>
        <w:rPr>
          <w:b/>
          <w:bCs/>
          <w:szCs w:val="22"/>
          <w:lang w:val="hu-HU"/>
        </w:rPr>
      </w:pPr>
      <w:r w:rsidRPr="00723D47">
        <w:rPr>
          <w:b/>
          <w:bCs/>
          <w:szCs w:val="22"/>
          <w:lang w:val="hu-HU"/>
        </w:rPr>
        <w:t>Következtetés</w:t>
      </w:r>
    </w:p>
    <w:p w14:paraId="188075FF" w14:textId="77777777" w:rsidR="00FB666A" w:rsidRPr="00723D47" w:rsidRDefault="00FB666A" w:rsidP="00FB666A">
      <w:pPr>
        <w:ind w:left="360"/>
        <w:rPr>
          <w:szCs w:val="22"/>
          <w:highlight w:val="yellow"/>
          <w:lang w:val="hu-HU"/>
        </w:rPr>
      </w:pPr>
    </w:p>
    <w:p w14:paraId="133B77B4" w14:textId="77777777" w:rsidR="00FB666A" w:rsidRPr="00723D47" w:rsidRDefault="00FB666A" w:rsidP="00FB666A">
      <w:pPr>
        <w:ind w:left="360"/>
        <w:jc w:val="both"/>
        <w:rPr>
          <w:szCs w:val="22"/>
          <w:lang w:val="hu-HU"/>
        </w:rPr>
      </w:pPr>
      <w:r w:rsidRPr="00723D47">
        <w:rPr>
          <w:szCs w:val="22"/>
          <w:lang w:val="hu-HU"/>
        </w:rPr>
        <w:t>Véleményünk szerint a Társaság minden lényeges vonatkozásban megfelel a számviteli törvény 114/C. § (6) bekezdésében meghatározott IFRS áttérés feltételeinek.</w:t>
      </w:r>
    </w:p>
    <w:p w14:paraId="6B6BF37A" w14:textId="77777777" w:rsidR="00FB666A" w:rsidRPr="00723D47" w:rsidRDefault="00FB666A" w:rsidP="00FB666A">
      <w:pPr>
        <w:ind w:left="360"/>
        <w:jc w:val="both"/>
        <w:rPr>
          <w:szCs w:val="22"/>
          <w:lang w:val="hu-HU"/>
        </w:rPr>
      </w:pPr>
    </w:p>
    <w:p w14:paraId="27688D47" w14:textId="77777777" w:rsidR="00FB666A" w:rsidRPr="00723D47" w:rsidRDefault="00FB666A" w:rsidP="00FB666A">
      <w:pPr>
        <w:ind w:left="360"/>
        <w:rPr>
          <w:b/>
          <w:szCs w:val="22"/>
          <w:lang w:val="hu-HU"/>
        </w:rPr>
      </w:pPr>
      <w:r w:rsidRPr="00723D47">
        <w:rPr>
          <w:b/>
          <w:szCs w:val="22"/>
          <w:lang w:val="hu-HU"/>
        </w:rPr>
        <w:t>Egyéb kérdések</w:t>
      </w:r>
    </w:p>
    <w:p w14:paraId="71009D4E" w14:textId="77777777" w:rsidR="00FB666A" w:rsidRPr="00723D47" w:rsidRDefault="00FB666A" w:rsidP="00FB666A">
      <w:pPr>
        <w:ind w:left="360"/>
        <w:rPr>
          <w:szCs w:val="22"/>
          <w:lang w:val="hu-HU"/>
        </w:rPr>
      </w:pPr>
    </w:p>
    <w:p w14:paraId="3F9FA23C" w14:textId="4E94458C" w:rsidR="00FB666A" w:rsidRPr="00723D47" w:rsidRDefault="00FB666A" w:rsidP="000A7AFD">
      <w:pPr>
        <w:ind w:left="360"/>
        <w:jc w:val="both"/>
        <w:rPr>
          <w:szCs w:val="22"/>
          <w:lang w:val="hu-HU"/>
        </w:rPr>
      </w:pPr>
      <w:r w:rsidRPr="00723D47">
        <w:rPr>
          <w:szCs w:val="22"/>
          <w:lang w:val="hu-HU"/>
        </w:rPr>
        <w:t xml:space="preserve">A Társaság </w:t>
      </w:r>
      <w:r w:rsidR="000A7AFD">
        <w:rPr>
          <w:szCs w:val="22"/>
          <w:lang w:val="hu-HU"/>
        </w:rPr>
        <w:t xml:space="preserve">EU </w:t>
      </w:r>
      <w:r w:rsidRPr="00723D47">
        <w:rPr>
          <w:szCs w:val="22"/>
          <w:lang w:val="hu-HU"/>
        </w:rPr>
        <w:t>IFRS-ek szerinti számviteli politikája</w:t>
      </w:r>
      <w:r w:rsidR="00432FA4">
        <w:rPr>
          <w:szCs w:val="22"/>
          <w:lang w:val="hu-HU"/>
        </w:rPr>
        <w:t>,</w:t>
      </w:r>
      <w:r w:rsidRPr="00723D47">
        <w:rPr>
          <w:szCs w:val="22"/>
          <w:lang w:val="hu-HU"/>
        </w:rPr>
        <w:t xml:space="preserve"> valamint a </w:t>
      </w:r>
      <w:r w:rsidR="000A7AFD">
        <w:rPr>
          <w:i/>
          <w:szCs w:val="22"/>
          <w:lang w:val="hu-HU"/>
        </w:rPr>
        <w:t xml:space="preserve">20X0. </w:t>
      </w:r>
      <w:r w:rsidRPr="00723D47">
        <w:rPr>
          <w:i/>
          <w:szCs w:val="22"/>
          <w:lang w:val="hu-HU"/>
        </w:rPr>
        <w:t>január 1-i</w:t>
      </w:r>
      <w:r w:rsidRPr="00723D47">
        <w:rPr>
          <w:szCs w:val="22"/>
          <w:lang w:val="hu-HU"/>
        </w:rPr>
        <w:t xml:space="preserve"> IFRS nyitómérleg</w:t>
      </w:r>
      <w:r w:rsidR="00432FA4">
        <w:rPr>
          <w:szCs w:val="22"/>
          <w:lang w:val="hu-HU"/>
        </w:rPr>
        <w:t>e</w:t>
      </w:r>
      <w:r w:rsidRPr="00723D47">
        <w:rPr>
          <w:szCs w:val="22"/>
          <w:lang w:val="hu-HU"/>
        </w:rPr>
        <w:t xml:space="preserve"> a jelentésünk kiadásakor hatályos</w:t>
      </w:r>
      <w:r w:rsidR="000A7AFD">
        <w:rPr>
          <w:szCs w:val="22"/>
          <w:lang w:val="hu-HU"/>
        </w:rPr>
        <w:t>, az EU által befogadott</w:t>
      </w:r>
      <w:r w:rsidRPr="00723D47">
        <w:rPr>
          <w:szCs w:val="22"/>
          <w:lang w:val="hu-HU"/>
        </w:rPr>
        <w:t xml:space="preserve"> Nemzetközi Pénzügyi Beszámolási Standardok figyelembe vételével kerültek összeállításra. Ebből következően az általunk vizsgált </w:t>
      </w:r>
      <w:r w:rsidR="00432FA4">
        <w:rPr>
          <w:szCs w:val="22"/>
          <w:lang w:val="hu-HU"/>
        </w:rPr>
        <w:t xml:space="preserve">EU </w:t>
      </w:r>
      <w:r w:rsidRPr="00723D47">
        <w:rPr>
          <w:szCs w:val="22"/>
          <w:lang w:val="hu-HU"/>
        </w:rPr>
        <w:t xml:space="preserve">IFRS-ek szerinti számviteli politika és IFRS nyitómérleg eltérhet attól, amelyet a Társaság a </w:t>
      </w:r>
      <w:r w:rsidRPr="00723D47">
        <w:rPr>
          <w:i/>
          <w:szCs w:val="22"/>
          <w:lang w:val="hu-HU"/>
        </w:rPr>
        <w:t>20X1. december 31-i</w:t>
      </w:r>
      <w:r w:rsidR="00432FA4">
        <w:rPr>
          <w:szCs w:val="22"/>
          <w:lang w:val="hu-HU"/>
        </w:rPr>
        <w:t xml:space="preserve">, EU </w:t>
      </w:r>
      <w:r w:rsidRPr="00723D47">
        <w:rPr>
          <w:szCs w:val="22"/>
          <w:lang w:val="hu-HU"/>
        </w:rPr>
        <w:t>IFRS-ek szerinti éves beszámolója összeállításakor alkalmazni fog</w:t>
      </w:r>
      <w:r w:rsidR="00CC2A8D">
        <w:rPr>
          <w:szCs w:val="22"/>
          <w:lang w:val="hu-HU"/>
        </w:rPr>
        <w:t xml:space="preserve">. </w:t>
      </w:r>
      <w:r w:rsidR="00CC2A8D" w:rsidRPr="00D3067E">
        <w:rPr>
          <w:szCs w:val="22"/>
          <w:lang w:val="hu-HU"/>
        </w:rPr>
        <w:t xml:space="preserve">Következtetésünket nem minősítjük ennek a kérdésnek a </w:t>
      </w:r>
      <w:r w:rsidR="00432FA4">
        <w:rPr>
          <w:szCs w:val="22"/>
          <w:lang w:val="hu-HU"/>
        </w:rPr>
        <w:t>vonatkozásában</w:t>
      </w:r>
      <w:r w:rsidR="00CC2A8D" w:rsidRPr="00D3067E">
        <w:rPr>
          <w:szCs w:val="22"/>
          <w:lang w:val="hu-HU"/>
        </w:rPr>
        <w:t>.</w:t>
      </w:r>
    </w:p>
    <w:p w14:paraId="6A1FBD06" w14:textId="77777777" w:rsidR="00FB666A" w:rsidRPr="00723D47" w:rsidRDefault="00FB666A" w:rsidP="00FB666A">
      <w:pPr>
        <w:ind w:left="360"/>
        <w:rPr>
          <w:szCs w:val="22"/>
          <w:lang w:val="hu-HU"/>
        </w:rPr>
      </w:pPr>
    </w:p>
    <w:p w14:paraId="5EA3783A" w14:textId="77777777" w:rsidR="00FB666A" w:rsidRPr="00723D47" w:rsidRDefault="00FB666A" w:rsidP="00FB666A">
      <w:pPr>
        <w:ind w:left="360"/>
        <w:rPr>
          <w:b/>
          <w:szCs w:val="22"/>
          <w:lang w:val="hu-HU"/>
        </w:rPr>
      </w:pPr>
      <w:r w:rsidRPr="00723D47">
        <w:rPr>
          <w:b/>
          <w:szCs w:val="22"/>
          <w:lang w:val="hu-HU"/>
        </w:rPr>
        <w:t>Felhasználhatóság és közreadás korlátozása</w:t>
      </w:r>
    </w:p>
    <w:p w14:paraId="40483C3C" w14:textId="77777777" w:rsidR="00FB666A" w:rsidRPr="00723D47" w:rsidRDefault="00FB666A" w:rsidP="00FB666A">
      <w:pPr>
        <w:ind w:left="360"/>
        <w:rPr>
          <w:b/>
          <w:szCs w:val="22"/>
          <w:lang w:val="hu-HU"/>
        </w:rPr>
      </w:pPr>
    </w:p>
    <w:p w14:paraId="2E3BAA9B" w14:textId="4DE11ABC" w:rsidR="00FB666A" w:rsidRPr="00723D47" w:rsidRDefault="00FB666A" w:rsidP="00FB666A">
      <w:pPr>
        <w:ind w:left="360"/>
        <w:jc w:val="both"/>
        <w:rPr>
          <w:szCs w:val="22"/>
          <w:lang w:val="hu-HU"/>
        </w:rPr>
      </w:pPr>
      <w:r w:rsidRPr="00723D47">
        <w:rPr>
          <w:szCs w:val="22"/>
          <w:lang w:val="hu-HU"/>
        </w:rPr>
        <w:lastRenderedPageBreak/>
        <w:t>A jelen bizonyosságot nyújtó független jelentés kizárólag a Társaság illetve a Nemzeti Adó- és Vámhivatal és a Központi Statisztikai Hivatal</w:t>
      </w:r>
      <w:r w:rsidR="00E16C4C">
        <w:rPr>
          <w:szCs w:val="22"/>
          <w:lang w:val="hu-HU"/>
        </w:rPr>
        <w:t>,</w:t>
      </w:r>
      <w:r w:rsidRPr="00723D47">
        <w:rPr>
          <w:szCs w:val="22"/>
          <w:lang w:val="hu-HU"/>
        </w:rPr>
        <w:t xml:space="preserve"> </w:t>
      </w:r>
      <w:r w:rsidRPr="00723D47">
        <w:rPr>
          <w:i/>
          <w:szCs w:val="22"/>
          <w:lang w:val="hu-HU"/>
        </w:rPr>
        <w:t>[ha releváns] valamint a Magyar Nemzeti Bank</w:t>
      </w:r>
      <w:r w:rsidR="00E16C4C">
        <w:rPr>
          <w:rStyle w:val="Lbjegyzet-hivatkozs"/>
          <w:i/>
          <w:szCs w:val="22"/>
          <w:lang w:val="hu-HU"/>
        </w:rPr>
        <w:footnoteReference w:id="1"/>
      </w:r>
      <w:r w:rsidRPr="00723D47">
        <w:rPr>
          <w:szCs w:val="22"/>
          <w:lang w:val="hu-HU"/>
        </w:rPr>
        <w:t xml:space="preserve"> felhasználására készült, és kizárólag azzal a céllal, hogy a Nemzeti Adó- és Vámhivatal és a Központi Statisztikai Hivatal</w:t>
      </w:r>
      <w:r w:rsidR="00E16C4C">
        <w:rPr>
          <w:szCs w:val="22"/>
          <w:lang w:val="hu-HU"/>
        </w:rPr>
        <w:t>,</w:t>
      </w:r>
      <w:r w:rsidRPr="00723D47">
        <w:rPr>
          <w:szCs w:val="22"/>
          <w:lang w:val="hu-HU"/>
        </w:rPr>
        <w:t xml:space="preserve"> </w:t>
      </w:r>
      <w:r w:rsidRPr="00723D47">
        <w:rPr>
          <w:i/>
          <w:szCs w:val="22"/>
          <w:lang w:val="hu-HU"/>
        </w:rPr>
        <w:t>[ha releváns] valamint a Magyar Nemzeti Bank</w:t>
      </w:r>
      <w:r w:rsidRPr="00723D47">
        <w:rPr>
          <w:szCs w:val="22"/>
          <w:lang w:val="hu-HU"/>
        </w:rPr>
        <w:t xml:space="preserve"> megítélje, hogy a Társaság megfelelően felkészült-e az IFRS-ek szerint készített egyedi beszámolóra való átállásra, ahogy azt a számviteli törvény 114/C. § (6) bekezdése előírja. Ezen jelentés a fentieken kívül semmilyen más célra nem használható fel, és semmilyen más fél tudomására nem hozható.</w:t>
      </w:r>
    </w:p>
    <w:p w14:paraId="420CC9DC" w14:textId="77777777" w:rsidR="00FB666A" w:rsidRPr="00723D47" w:rsidRDefault="00FB666A" w:rsidP="00FB666A">
      <w:pPr>
        <w:ind w:left="360"/>
        <w:rPr>
          <w:szCs w:val="22"/>
          <w:lang w:val="hu-HU"/>
        </w:rPr>
      </w:pPr>
    </w:p>
    <w:p w14:paraId="7FA8D6AF" w14:textId="77777777" w:rsidR="00FB666A" w:rsidRPr="00723D47" w:rsidRDefault="00FB666A" w:rsidP="00FB666A">
      <w:pPr>
        <w:ind w:left="360"/>
        <w:rPr>
          <w:szCs w:val="22"/>
          <w:lang w:val="hu-HU"/>
        </w:rPr>
      </w:pPr>
    </w:p>
    <w:p w14:paraId="0B40E8A5" w14:textId="77777777" w:rsidR="00FB666A" w:rsidRPr="00723D47" w:rsidRDefault="00FB666A" w:rsidP="00FB666A">
      <w:pPr>
        <w:ind w:left="360"/>
        <w:outlineLvl w:val="0"/>
        <w:rPr>
          <w:szCs w:val="22"/>
          <w:lang w:val="hu-HU"/>
        </w:rPr>
      </w:pPr>
      <w:r w:rsidRPr="00723D47">
        <w:rPr>
          <w:szCs w:val="22"/>
          <w:lang w:val="hu-HU"/>
        </w:rPr>
        <w:t>Hely, dátum</w:t>
      </w:r>
    </w:p>
    <w:p w14:paraId="5429B92A" w14:textId="77777777" w:rsidR="00FB666A" w:rsidRPr="00723D47" w:rsidRDefault="00FB666A" w:rsidP="00FB666A">
      <w:pPr>
        <w:rPr>
          <w:szCs w:val="22"/>
          <w:lang w:val="hu-HU"/>
        </w:rPr>
      </w:pPr>
    </w:p>
    <w:p w14:paraId="5FB15513" w14:textId="77777777" w:rsidR="00FB666A" w:rsidRPr="00723D47" w:rsidRDefault="00FB666A" w:rsidP="00FB666A">
      <w:pPr>
        <w:spacing w:before="120" w:line="240" w:lineRule="atLeast"/>
        <w:jc w:val="both"/>
        <w:rPr>
          <w:szCs w:val="22"/>
          <w:lang w:val="hu-HU"/>
        </w:rPr>
      </w:pPr>
    </w:p>
    <w:p w14:paraId="3119AB6C" w14:textId="1B789AF6" w:rsidR="00FB666A" w:rsidRDefault="00FB666A" w:rsidP="0008568B">
      <w:pPr>
        <w:tabs>
          <w:tab w:val="left" w:pos="5670"/>
        </w:tabs>
        <w:spacing w:before="120" w:line="240" w:lineRule="atLeast"/>
        <w:ind w:left="360"/>
        <w:jc w:val="both"/>
        <w:rPr>
          <w:szCs w:val="22"/>
          <w:lang w:val="hu-HU"/>
        </w:rPr>
      </w:pPr>
      <w:r w:rsidRPr="00723D47">
        <w:rPr>
          <w:szCs w:val="22"/>
          <w:lang w:val="hu-HU"/>
        </w:rPr>
        <w:t>Könyvvizsgáló</w:t>
      </w:r>
      <w:r w:rsidR="0008568B">
        <w:rPr>
          <w:szCs w:val="22"/>
          <w:lang w:val="hu-HU"/>
        </w:rPr>
        <w:t xml:space="preserve"> cég képviselőjének aláírása</w:t>
      </w:r>
      <w:r w:rsidR="00483F20">
        <w:rPr>
          <w:rStyle w:val="Lbjegyzet-hivatkozs"/>
          <w:szCs w:val="22"/>
          <w:lang w:val="hu-HU"/>
        </w:rPr>
        <w:footnoteReference w:id="2"/>
      </w:r>
      <w:r w:rsidR="0008568B">
        <w:rPr>
          <w:szCs w:val="22"/>
          <w:lang w:val="hu-HU"/>
        </w:rPr>
        <w:tab/>
        <w:t>Kamarai tag könyvvizsgáló aláírása</w:t>
      </w:r>
    </w:p>
    <w:p w14:paraId="40D208D4" w14:textId="77777777" w:rsidR="0008568B" w:rsidRDefault="0008568B" w:rsidP="0008568B">
      <w:pPr>
        <w:tabs>
          <w:tab w:val="left" w:pos="5670"/>
        </w:tabs>
        <w:spacing w:before="120" w:line="240" w:lineRule="atLeast"/>
        <w:ind w:left="360"/>
        <w:jc w:val="both"/>
        <w:rPr>
          <w:szCs w:val="22"/>
          <w:lang w:val="hu-HU"/>
        </w:rPr>
      </w:pPr>
      <w:r>
        <w:rPr>
          <w:szCs w:val="22"/>
          <w:lang w:val="hu-HU"/>
        </w:rPr>
        <w:t>Képviseletre jogosult neve:</w:t>
      </w:r>
      <w:r>
        <w:rPr>
          <w:szCs w:val="22"/>
          <w:lang w:val="hu-HU"/>
        </w:rPr>
        <w:tab/>
        <w:t>Könyvvizsgáló neve:</w:t>
      </w:r>
    </w:p>
    <w:p w14:paraId="7BC1EF67" w14:textId="3F225891" w:rsidR="00806996" w:rsidRDefault="0008568B" w:rsidP="00806996">
      <w:pPr>
        <w:tabs>
          <w:tab w:val="left" w:pos="5670"/>
        </w:tabs>
        <w:spacing w:before="120" w:line="240" w:lineRule="atLeast"/>
        <w:ind w:left="360"/>
        <w:jc w:val="both"/>
        <w:rPr>
          <w:szCs w:val="22"/>
          <w:lang w:val="hu-HU"/>
        </w:rPr>
      </w:pPr>
      <w:r>
        <w:rPr>
          <w:szCs w:val="22"/>
          <w:lang w:val="hu-HU"/>
        </w:rPr>
        <w:t>Könyvvizsgáló társaság neve</w:t>
      </w:r>
      <w:r w:rsidR="00806996">
        <w:rPr>
          <w:szCs w:val="22"/>
          <w:lang w:val="hu-HU"/>
        </w:rPr>
        <w:t>:</w:t>
      </w:r>
      <w:r w:rsidR="00806996">
        <w:rPr>
          <w:szCs w:val="22"/>
          <w:lang w:val="hu-HU"/>
        </w:rPr>
        <w:tab/>
        <w:t>Kamarai nyilvántartási száma:</w:t>
      </w:r>
    </w:p>
    <w:p w14:paraId="54A98881" w14:textId="3462651D" w:rsidR="0008568B" w:rsidRPr="00723D47" w:rsidRDefault="00806996" w:rsidP="0008568B">
      <w:pPr>
        <w:tabs>
          <w:tab w:val="left" w:pos="5670"/>
        </w:tabs>
        <w:spacing w:before="120" w:line="240" w:lineRule="atLeast"/>
        <w:ind w:left="360"/>
        <w:jc w:val="both"/>
        <w:rPr>
          <w:szCs w:val="22"/>
          <w:lang w:val="hu-HU"/>
        </w:rPr>
      </w:pPr>
      <w:r>
        <w:rPr>
          <w:szCs w:val="22"/>
          <w:lang w:val="hu-HU"/>
        </w:rPr>
        <w:t>Könyvvizsgáló társaság székhelye:</w:t>
      </w:r>
      <w:r w:rsidR="0008568B">
        <w:rPr>
          <w:szCs w:val="22"/>
          <w:lang w:val="hu-HU"/>
        </w:rPr>
        <w:tab/>
      </w:r>
    </w:p>
    <w:p w14:paraId="06E68E64" w14:textId="77777777" w:rsidR="00FB666A" w:rsidRPr="00723D47" w:rsidRDefault="00FB666A" w:rsidP="0008568B">
      <w:pPr>
        <w:tabs>
          <w:tab w:val="left" w:pos="5670"/>
        </w:tabs>
        <w:spacing w:before="120" w:line="240" w:lineRule="atLeast"/>
        <w:ind w:left="360"/>
        <w:jc w:val="both"/>
        <w:rPr>
          <w:szCs w:val="22"/>
          <w:lang w:val="hu-HU"/>
        </w:rPr>
      </w:pPr>
      <w:r w:rsidRPr="00723D47">
        <w:rPr>
          <w:szCs w:val="22"/>
          <w:lang w:val="hu-HU"/>
        </w:rPr>
        <w:t>Kamarai nyilvántartási száma</w:t>
      </w:r>
      <w:r w:rsidR="0008568B">
        <w:rPr>
          <w:szCs w:val="22"/>
          <w:lang w:val="hu-HU"/>
        </w:rPr>
        <w:t>:</w:t>
      </w:r>
    </w:p>
    <w:p w14:paraId="55F1376B" w14:textId="77777777" w:rsidR="00FB666A" w:rsidRPr="00C30F3C" w:rsidRDefault="00FB666A" w:rsidP="0008568B">
      <w:pPr>
        <w:tabs>
          <w:tab w:val="left" w:pos="5670"/>
        </w:tabs>
        <w:rPr>
          <w:lang w:val="hu-HU"/>
        </w:rPr>
      </w:pPr>
    </w:p>
    <w:p w14:paraId="21E7DA57" w14:textId="77777777" w:rsidR="00090B25" w:rsidRPr="00806996" w:rsidRDefault="00090B25">
      <w:pPr>
        <w:rPr>
          <w:lang w:val="hu-HU"/>
        </w:rPr>
      </w:pPr>
    </w:p>
    <w:sectPr w:rsidR="00E36E1A" w:rsidRPr="00806996" w:rsidSect="0083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25E0A" w14:textId="77777777" w:rsidR="00D70E95" w:rsidRDefault="00D70E95" w:rsidP="00483F20">
      <w:pPr>
        <w:spacing w:before="0" w:after="0" w:line="240" w:lineRule="auto"/>
      </w:pPr>
      <w:r>
        <w:separator/>
      </w:r>
    </w:p>
  </w:endnote>
  <w:endnote w:type="continuationSeparator" w:id="0">
    <w:p w14:paraId="63E01BDB" w14:textId="77777777" w:rsidR="00D70E95" w:rsidRDefault="00D70E95" w:rsidP="00483F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00D1" w14:textId="77777777" w:rsidR="00D70E95" w:rsidRDefault="00D70E95" w:rsidP="00483F20">
      <w:pPr>
        <w:spacing w:before="0" w:after="0" w:line="240" w:lineRule="auto"/>
      </w:pPr>
      <w:r>
        <w:separator/>
      </w:r>
    </w:p>
  </w:footnote>
  <w:footnote w:type="continuationSeparator" w:id="0">
    <w:p w14:paraId="4F449E0B" w14:textId="77777777" w:rsidR="00D70E95" w:rsidRDefault="00D70E95" w:rsidP="00483F20">
      <w:pPr>
        <w:spacing w:before="0" w:after="0" w:line="240" w:lineRule="auto"/>
      </w:pPr>
      <w:r>
        <w:continuationSeparator/>
      </w:r>
    </w:p>
  </w:footnote>
  <w:footnote w:id="1">
    <w:p w14:paraId="1307C89E" w14:textId="40872DBE" w:rsidR="00E16C4C" w:rsidRPr="00D3067E" w:rsidRDefault="00E16C4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Társaság tekintetében nem releváns hatóság neve törlendő!</w:t>
      </w:r>
    </w:p>
  </w:footnote>
  <w:footnote w:id="2">
    <w:p w14:paraId="7CDDA156" w14:textId="4BBCB0DF" w:rsidR="00483F20" w:rsidRPr="00D3067E" w:rsidRDefault="00483F20">
      <w:pPr>
        <w:pStyle w:val="Lbjegyzetszveg"/>
        <w:rPr>
          <w:iCs/>
          <w:lang w:val="hu-HU"/>
        </w:rPr>
      </w:pPr>
      <w:r>
        <w:rPr>
          <w:rStyle w:val="Lbjegyzet-hivatkozs"/>
        </w:rPr>
        <w:footnoteRef/>
      </w:r>
      <w:r w:rsidRPr="007D3236">
        <w:rPr>
          <w:lang w:val="hu-HU"/>
        </w:rPr>
        <w:t xml:space="preserve"> </w:t>
      </w:r>
      <w:r>
        <w:rPr>
          <w:lang w:val="hu-HU"/>
        </w:rPr>
        <w:t xml:space="preserve">Egyéni könyvvizsgáló esetén </w:t>
      </w:r>
      <w:r>
        <w:rPr>
          <w:iCs/>
          <w:lang w:val="hu-HU" w:eastAsia="hu-HU"/>
        </w:rPr>
        <w:t xml:space="preserve">csak a jobb oldali oszlop szerepeltetendő: </w:t>
      </w:r>
      <w:r w:rsidRPr="00D3067E">
        <w:rPr>
          <w:iCs/>
          <w:lang w:val="hu-HU" w:eastAsia="hu-HU"/>
        </w:rPr>
        <w:t>a könyvvizsgáló nev</w:t>
      </w:r>
      <w:r>
        <w:rPr>
          <w:iCs/>
          <w:lang w:val="hu-HU" w:eastAsia="hu-HU"/>
        </w:rPr>
        <w:t>e</w:t>
      </w:r>
      <w:r w:rsidRPr="00D3067E">
        <w:rPr>
          <w:iCs/>
          <w:lang w:val="hu-HU" w:eastAsia="hu-HU"/>
        </w:rPr>
        <w:t>, aláírás</w:t>
      </w:r>
      <w:r>
        <w:rPr>
          <w:iCs/>
          <w:lang w:val="hu-HU" w:eastAsia="hu-HU"/>
        </w:rPr>
        <w:t>a</w:t>
      </w:r>
      <w:r w:rsidRPr="00D3067E">
        <w:rPr>
          <w:iCs/>
          <w:lang w:val="hu-HU" w:eastAsia="hu-HU"/>
        </w:rPr>
        <w:t>, kamarai nyilvántartási szám</w:t>
      </w:r>
      <w:r>
        <w:rPr>
          <w:iCs/>
          <w:lang w:val="hu-HU" w:eastAsia="hu-HU"/>
        </w:rPr>
        <w:t>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D1520"/>
    <w:multiLevelType w:val="hybridMultilevel"/>
    <w:tmpl w:val="42867B7C"/>
    <w:lvl w:ilvl="0" w:tplc="F4C6190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57BD309A"/>
    <w:multiLevelType w:val="hybridMultilevel"/>
    <w:tmpl w:val="8110BB4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F536A"/>
    <w:multiLevelType w:val="hybridMultilevel"/>
    <w:tmpl w:val="7BECA6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52210">
    <w:abstractNumId w:val="1"/>
  </w:num>
  <w:num w:numId="2" w16cid:durableId="493644772">
    <w:abstractNumId w:val="0"/>
  </w:num>
  <w:num w:numId="3" w16cid:durableId="1015108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6A"/>
    <w:rsid w:val="0008568B"/>
    <w:rsid w:val="00090B25"/>
    <w:rsid w:val="000A7AFD"/>
    <w:rsid w:val="000D3AB1"/>
    <w:rsid w:val="000F5E4A"/>
    <w:rsid w:val="001F051B"/>
    <w:rsid w:val="002A535D"/>
    <w:rsid w:val="002D145D"/>
    <w:rsid w:val="003431EF"/>
    <w:rsid w:val="0036573A"/>
    <w:rsid w:val="0037577B"/>
    <w:rsid w:val="003C3A09"/>
    <w:rsid w:val="003F72C8"/>
    <w:rsid w:val="00432FA4"/>
    <w:rsid w:val="00483F20"/>
    <w:rsid w:val="005919C7"/>
    <w:rsid w:val="005D38B1"/>
    <w:rsid w:val="0073536F"/>
    <w:rsid w:val="007D3236"/>
    <w:rsid w:val="00806996"/>
    <w:rsid w:val="00835B3C"/>
    <w:rsid w:val="00836B71"/>
    <w:rsid w:val="00AC3907"/>
    <w:rsid w:val="00CC2A8D"/>
    <w:rsid w:val="00D3067E"/>
    <w:rsid w:val="00D70E95"/>
    <w:rsid w:val="00E16C4C"/>
    <w:rsid w:val="00F6502D"/>
    <w:rsid w:val="00F765DF"/>
    <w:rsid w:val="00F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61B1"/>
  <w15:docId w15:val="{C76D1EFD-C646-4267-96DE-EB0C50DD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666A"/>
    <w:pPr>
      <w:overflowPunct w:val="0"/>
      <w:autoSpaceDE w:val="0"/>
      <w:autoSpaceDN w:val="0"/>
      <w:adjustRightInd w:val="0"/>
      <w:spacing w:before="80" w:after="100" w:line="260" w:lineRule="atLeast"/>
      <w:textAlignment w:val="baseline"/>
    </w:pPr>
    <w:rPr>
      <w:rFonts w:ascii="Times New Roman" w:eastAsia="MS Mincho" w:hAnsi="Times New Roman" w:cs="Times New Roman"/>
      <w:szCs w:val="20"/>
      <w:lang w:val="en-GB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666A"/>
    <w:pPr>
      <w:ind w:left="720"/>
      <w:contextualSpacing/>
    </w:pPr>
  </w:style>
  <w:style w:type="paragraph" w:customStyle="1" w:styleId="BodySingle">
    <w:name w:val="Body Single"/>
    <w:basedOn w:val="Szvegtrzs"/>
    <w:rsid w:val="00FB666A"/>
    <w:pPr>
      <w:overflowPunct/>
      <w:autoSpaceDE/>
      <w:autoSpaceDN/>
      <w:adjustRightInd/>
      <w:spacing w:before="0" w:after="0" w:line="240" w:lineRule="atLeast"/>
      <w:textAlignment w:val="auto"/>
    </w:pPr>
    <w:rPr>
      <w:rFonts w:ascii="Arial" w:eastAsia="Times New Roman" w:hAnsi="Arial"/>
      <w:sz w:val="20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FB666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B666A"/>
    <w:rPr>
      <w:rFonts w:ascii="Times New Roman" w:eastAsia="MS Mincho" w:hAnsi="Times New Roman" w:cs="Times New Roman"/>
      <w:szCs w:val="20"/>
      <w:lang w:val="en-GB" w:eastAsia="ja-JP"/>
    </w:rPr>
  </w:style>
  <w:style w:type="paragraph" w:styleId="Vltozat">
    <w:name w:val="Revision"/>
    <w:hidden/>
    <w:uiPriority w:val="99"/>
    <w:semiHidden/>
    <w:rsid w:val="00CC2A8D"/>
    <w:pPr>
      <w:spacing w:after="0" w:line="240" w:lineRule="auto"/>
    </w:pPr>
    <w:rPr>
      <w:rFonts w:ascii="Times New Roman" w:eastAsia="MS Mincho" w:hAnsi="Times New Roman" w:cs="Times New Roman"/>
      <w:szCs w:val="20"/>
      <w:lang w:val="en-GB" w:eastAsia="ja-JP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83F20"/>
    <w:pPr>
      <w:spacing w:before="0" w:after="0" w:line="240" w:lineRule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3F20"/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styleId="Lbjegyzet-hivatkozs">
    <w:name w:val="footnote reference"/>
    <w:basedOn w:val="Bekezdsalapbettpusa"/>
    <w:uiPriority w:val="99"/>
    <w:semiHidden/>
    <w:unhideWhenUsed/>
    <w:rsid w:val="00483F2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2F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2FA4"/>
    <w:rPr>
      <w:rFonts w:ascii="Tahoma" w:eastAsia="MS Mincho" w:hAnsi="Tahoma" w:cs="Tahoma"/>
      <w:sz w:val="16"/>
      <w:szCs w:val="16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ED77-78A3-4785-AFA0-5C0A6C23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BARSI Eva</dc:creator>
  <cp:lastModifiedBy>Fazekas Erika</cp:lastModifiedBy>
  <cp:revision>2</cp:revision>
  <dcterms:created xsi:type="dcterms:W3CDTF">2023-12-04T10:03:00Z</dcterms:created>
  <dcterms:modified xsi:type="dcterms:W3CDTF">2023-12-04T10:03:00Z</dcterms:modified>
</cp:coreProperties>
</file>