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0523" w:rsidRPr="00A40523" w:rsidRDefault="00A40523" w:rsidP="00A40523">
      <w:pPr>
        <w:keepNext/>
        <w:spacing w:after="0" w:line="240" w:lineRule="auto"/>
        <w:outlineLvl w:val="0"/>
        <w:rPr>
          <w:rFonts w:ascii="Times New Roman" w:eastAsia="Times New Roman" w:hAnsi="Times New Roman" w:cs="Times New Roman"/>
          <w:b/>
          <w:sz w:val="25"/>
          <w:szCs w:val="25"/>
          <w:lang w:eastAsia="hu-HU"/>
        </w:rPr>
      </w:pPr>
      <w:bookmarkStart w:id="0" w:name="_GoBack"/>
      <w:bookmarkEnd w:id="0"/>
    </w:p>
    <w:p w:rsidR="00A40523" w:rsidRPr="001F5A3B" w:rsidRDefault="00A40523" w:rsidP="00A40523">
      <w:pPr>
        <w:pStyle w:val="Listaszerbekezds"/>
        <w:keepNext/>
        <w:spacing w:after="0" w:line="240" w:lineRule="auto"/>
        <w:jc w:val="center"/>
        <w:outlineLvl w:val="0"/>
        <w:rPr>
          <w:rFonts w:ascii="Times New Roman" w:eastAsia="Times New Roman" w:hAnsi="Times New Roman" w:cs="Times New Roman"/>
          <w:b/>
          <w:sz w:val="25"/>
          <w:szCs w:val="25"/>
          <w:lang w:eastAsia="hu-HU"/>
        </w:rPr>
      </w:pPr>
      <w:r w:rsidRPr="001F5A3B">
        <w:rPr>
          <w:rFonts w:ascii="Times New Roman" w:eastAsia="Times New Roman" w:hAnsi="Times New Roman" w:cs="Times New Roman"/>
          <w:b/>
          <w:sz w:val="25"/>
          <w:szCs w:val="25"/>
          <w:lang w:eastAsia="hu-HU"/>
        </w:rPr>
        <w:t xml:space="preserve">A pénzmosásra vagy </w:t>
      </w:r>
      <w:r w:rsidR="008A23B7" w:rsidRPr="001F5A3B">
        <w:rPr>
          <w:rFonts w:ascii="Times New Roman" w:eastAsia="Times New Roman" w:hAnsi="Times New Roman" w:cs="Times New Roman"/>
          <w:b/>
          <w:sz w:val="25"/>
          <w:szCs w:val="25"/>
          <w:lang w:eastAsia="hu-HU"/>
        </w:rPr>
        <w:t xml:space="preserve">a </w:t>
      </w:r>
      <w:r w:rsidRPr="001F5A3B">
        <w:rPr>
          <w:rFonts w:ascii="Times New Roman" w:eastAsia="Times New Roman" w:hAnsi="Times New Roman" w:cs="Times New Roman"/>
          <w:b/>
          <w:sz w:val="25"/>
          <w:szCs w:val="25"/>
          <w:lang w:eastAsia="hu-HU"/>
        </w:rPr>
        <w:t>terrorizmus finanszírozására utaló adatok, tények, körülmények megállapításakor figyelembe veendő szempontok (továbbiakban: indikátorok, kockázati tényezők)</w:t>
      </w:r>
    </w:p>
    <w:p w:rsidR="00A40523" w:rsidRPr="001F5A3B" w:rsidRDefault="00A40523" w:rsidP="00A40523">
      <w:pPr>
        <w:autoSpaceDE w:val="0"/>
        <w:autoSpaceDN w:val="0"/>
        <w:adjustRightInd w:val="0"/>
        <w:spacing w:after="0" w:line="240" w:lineRule="auto"/>
        <w:jc w:val="both"/>
        <w:rPr>
          <w:rFonts w:ascii="Times New Roman" w:hAnsi="Times New Roman"/>
          <w:b/>
          <w:color w:val="000000"/>
          <w:sz w:val="25"/>
          <w:szCs w:val="25"/>
        </w:rPr>
      </w:pPr>
      <w:bookmarkStart w:id="1" w:name="_Hlk493079512"/>
    </w:p>
    <w:p w:rsidR="00A40523" w:rsidRPr="001F5A3B" w:rsidRDefault="00A40523" w:rsidP="008A23B7">
      <w:pPr>
        <w:pStyle w:val="Listaszerbekezds"/>
        <w:numPr>
          <w:ilvl w:val="0"/>
          <w:numId w:val="6"/>
        </w:numPr>
        <w:autoSpaceDE w:val="0"/>
        <w:autoSpaceDN w:val="0"/>
        <w:adjustRightInd w:val="0"/>
        <w:spacing w:after="0" w:line="240" w:lineRule="auto"/>
        <w:jc w:val="both"/>
        <w:rPr>
          <w:rFonts w:ascii="Times New Roman" w:hAnsi="Times New Roman"/>
          <w:b/>
          <w:color w:val="000000"/>
          <w:sz w:val="25"/>
          <w:szCs w:val="25"/>
        </w:rPr>
      </w:pPr>
      <w:r w:rsidRPr="001F5A3B">
        <w:rPr>
          <w:rFonts w:ascii="Times New Roman" w:hAnsi="Times New Roman"/>
          <w:b/>
          <w:color w:val="000000"/>
          <w:sz w:val="25"/>
          <w:szCs w:val="25"/>
        </w:rPr>
        <w:t>Az üzleti kapcsolat létesítésekor az alábbi kockázati tényezőkre kell különösen figyelemmel lennie a szolgál</w:t>
      </w:r>
      <w:r w:rsidR="008A23B7" w:rsidRPr="001F5A3B">
        <w:rPr>
          <w:rFonts w:ascii="Times New Roman" w:hAnsi="Times New Roman"/>
          <w:b/>
          <w:color w:val="000000"/>
          <w:sz w:val="25"/>
          <w:szCs w:val="25"/>
        </w:rPr>
        <w:t>t</w:t>
      </w:r>
      <w:r w:rsidRPr="001F5A3B">
        <w:rPr>
          <w:rFonts w:ascii="Times New Roman" w:hAnsi="Times New Roman"/>
          <w:b/>
          <w:color w:val="000000"/>
          <w:sz w:val="25"/>
          <w:szCs w:val="25"/>
        </w:rPr>
        <w:t>atónak:</w:t>
      </w:r>
    </w:p>
    <w:bookmarkEnd w:id="1"/>
    <w:p w:rsidR="00A40523" w:rsidRPr="001F5A3B" w:rsidRDefault="00A40523" w:rsidP="00A40523">
      <w:pPr>
        <w:autoSpaceDE w:val="0"/>
        <w:autoSpaceDN w:val="0"/>
        <w:adjustRightInd w:val="0"/>
        <w:spacing w:after="0" w:line="240" w:lineRule="auto"/>
        <w:rPr>
          <w:rFonts w:ascii="Times New Roman" w:hAnsi="Times New Roman" w:cs="Times New Roman"/>
          <w:color w:val="000000"/>
          <w:sz w:val="25"/>
          <w:szCs w:val="25"/>
        </w:rPr>
      </w:pPr>
    </w:p>
    <w:p w:rsidR="00A40523" w:rsidRPr="001F5A3B" w:rsidRDefault="00A40523" w:rsidP="00A40523">
      <w:pPr>
        <w:pStyle w:val="Listaszerbekezds"/>
        <w:numPr>
          <w:ilvl w:val="0"/>
          <w:numId w:val="1"/>
        </w:numPr>
        <w:autoSpaceDE w:val="0"/>
        <w:autoSpaceDN w:val="0"/>
        <w:adjustRightInd w:val="0"/>
        <w:spacing w:after="0" w:line="240" w:lineRule="auto"/>
        <w:jc w:val="both"/>
        <w:rPr>
          <w:rFonts w:ascii="Times New Roman" w:hAnsi="Times New Roman"/>
          <w:color w:val="000000"/>
          <w:sz w:val="25"/>
          <w:szCs w:val="25"/>
        </w:rPr>
      </w:pPr>
      <w:r w:rsidRPr="001F5A3B">
        <w:rPr>
          <w:rFonts w:ascii="Times New Roman" w:hAnsi="Times New Roman"/>
          <w:color w:val="000000"/>
          <w:sz w:val="25"/>
          <w:szCs w:val="25"/>
        </w:rPr>
        <w:t xml:space="preserve">a jogi személy vagy jogi személyiséggel nem rendelkező szervezet ügyfél képviseletében eljáró természetes személy nem valós tájékoztatást ad a szolgáltatónak az ügyfél tevékenységi körére vonatkozóan; </w:t>
      </w:r>
    </w:p>
    <w:p w:rsidR="008A23B7" w:rsidRPr="001F5A3B" w:rsidRDefault="00A40523" w:rsidP="008A23B7">
      <w:pPr>
        <w:pStyle w:val="Listaszerbekezds"/>
        <w:numPr>
          <w:ilvl w:val="0"/>
          <w:numId w:val="1"/>
        </w:numPr>
        <w:autoSpaceDE w:val="0"/>
        <w:autoSpaceDN w:val="0"/>
        <w:adjustRightInd w:val="0"/>
        <w:spacing w:after="0" w:line="240" w:lineRule="auto"/>
        <w:jc w:val="both"/>
        <w:rPr>
          <w:rFonts w:ascii="Times New Roman" w:hAnsi="Times New Roman"/>
          <w:color w:val="000000"/>
          <w:sz w:val="25"/>
          <w:szCs w:val="25"/>
        </w:rPr>
      </w:pPr>
      <w:r w:rsidRPr="001F5A3B">
        <w:rPr>
          <w:rFonts w:ascii="Times New Roman" w:hAnsi="Times New Roman"/>
          <w:color w:val="000000"/>
          <w:sz w:val="25"/>
          <w:szCs w:val="25"/>
        </w:rPr>
        <w:t>a jogi személy vagy jogi személyiséggel nem rendelkező szervezet ügyfél képviseletében eljáró természetes személynek nincs kellő ismerete az ügyfél tevékenységéről és működésének körülményeiről;</w:t>
      </w:r>
    </w:p>
    <w:p w:rsidR="00A40523" w:rsidRPr="001F5A3B" w:rsidRDefault="00A40523" w:rsidP="008A23B7">
      <w:pPr>
        <w:pStyle w:val="Listaszerbekezds"/>
        <w:numPr>
          <w:ilvl w:val="0"/>
          <w:numId w:val="1"/>
        </w:numPr>
        <w:autoSpaceDE w:val="0"/>
        <w:autoSpaceDN w:val="0"/>
        <w:adjustRightInd w:val="0"/>
        <w:spacing w:after="0" w:line="240" w:lineRule="auto"/>
        <w:jc w:val="both"/>
        <w:rPr>
          <w:rFonts w:ascii="Times New Roman" w:hAnsi="Times New Roman"/>
          <w:color w:val="000000"/>
          <w:sz w:val="25"/>
          <w:szCs w:val="25"/>
        </w:rPr>
      </w:pPr>
      <w:r w:rsidRPr="001F5A3B">
        <w:rPr>
          <w:rFonts w:ascii="Times New Roman" w:hAnsi="Times New Roman"/>
          <w:color w:val="000000"/>
          <w:sz w:val="25"/>
          <w:szCs w:val="25"/>
        </w:rPr>
        <w:t xml:space="preserve"> </w:t>
      </w:r>
      <w:r w:rsidR="008A23B7" w:rsidRPr="001F5A3B">
        <w:rPr>
          <w:rFonts w:ascii="Times New Roman" w:hAnsi="Times New Roman"/>
          <w:color w:val="000000"/>
          <w:sz w:val="25"/>
          <w:szCs w:val="25"/>
        </w:rPr>
        <w:t>az ügyfél képviselőjeként megjelent személy képviseleti vagy tulajdonosi jogosultságát nem tudja igazolni.</w:t>
      </w:r>
    </w:p>
    <w:p w:rsidR="00A40523" w:rsidRPr="001F5A3B" w:rsidRDefault="00A40523" w:rsidP="00A40523">
      <w:pPr>
        <w:pStyle w:val="Listaszerbekezds"/>
        <w:numPr>
          <w:ilvl w:val="0"/>
          <w:numId w:val="1"/>
        </w:numPr>
        <w:autoSpaceDE w:val="0"/>
        <w:autoSpaceDN w:val="0"/>
        <w:adjustRightInd w:val="0"/>
        <w:spacing w:after="0" w:line="240" w:lineRule="auto"/>
        <w:jc w:val="both"/>
        <w:rPr>
          <w:rFonts w:ascii="Times New Roman" w:hAnsi="Times New Roman"/>
          <w:color w:val="000000"/>
          <w:sz w:val="25"/>
          <w:szCs w:val="25"/>
        </w:rPr>
      </w:pPr>
      <w:r w:rsidRPr="001F5A3B">
        <w:rPr>
          <w:rFonts w:ascii="Times New Roman" w:hAnsi="Times New Roman"/>
          <w:i/>
          <w:iCs/>
          <w:color w:val="000000"/>
          <w:sz w:val="25"/>
          <w:szCs w:val="25"/>
        </w:rPr>
        <w:t xml:space="preserve"> </w:t>
      </w:r>
      <w:r w:rsidRPr="001F5A3B">
        <w:rPr>
          <w:rFonts w:ascii="Times New Roman" w:hAnsi="Times New Roman"/>
          <w:color w:val="000000"/>
          <w:sz w:val="25"/>
          <w:szCs w:val="25"/>
        </w:rPr>
        <w:t>az ügyfél képviseletében eljáró természetes személy által a szolgáltató számára a tényleges tulajdonos adatainak megadása során tett nyilatkozat ellenőrzése nem vezet eredményre;</w:t>
      </w:r>
    </w:p>
    <w:p w:rsidR="00A40523" w:rsidRPr="001F5A3B" w:rsidRDefault="00A40523" w:rsidP="00A40523">
      <w:pPr>
        <w:pStyle w:val="Listaszerbekezds"/>
        <w:numPr>
          <w:ilvl w:val="0"/>
          <w:numId w:val="1"/>
        </w:numPr>
        <w:autoSpaceDE w:val="0"/>
        <w:autoSpaceDN w:val="0"/>
        <w:adjustRightInd w:val="0"/>
        <w:spacing w:after="0" w:line="240" w:lineRule="auto"/>
        <w:jc w:val="both"/>
        <w:rPr>
          <w:rFonts w:ascii="Times New Roman" w:hAnsi="Times New Roman"/>
          <w:color w:val="000000"/>
          <w:sz w:val="25"/>
          <w:szCs w:val="25"/>
        </w:rPr>
      </w:pPr>
      <w:r w:rsidRPr="001F5A3B">
        <w:rPr>
          <w:rFonts w:ascii="Times New Roman" w:hAnsi="Times New Roman"/>
          <w:color w:val="000000"/>
          <w:sz w:val="25"/>
          <w:szCs w:val="25"/>
        </w:rPr>
        <w:t xml:space="preserve">a jogi személy vagy jogi személyiséggel nem rendelkező szervezet ügyfél vezető tisztségviselője, tényleges tulajdonosa stratégiai hiányosságokkal rendelkező, kiemelt kockázatot jelentő harmadik ország állampolgára, vagy ott lakóhellyel rendelkezik; </w:t>
      </w:r>
    </w:p>
    <w:p w:rsidR="00A40523" w:rsidRPr="001F5A3B" w:rsidRDefault="00A40523" w:rsidP="00A40523">
      <w:pPr>
        <w:pStyle w:val="Listaszerbekezds"/>
        <w:numPr>
          <w:ilvl w:val="0"/>
          <w:numId w:val="1"/>
        </w:numPr>
        <w:autoSpaceDE w:val="0"/>
        <w:autoSpaceDN w:val="0"/>
        <w:adjustRightInd w:val="0"/>
        <w:spacing w:after="0" w:line="240" w:lineRule="auto"/>
        <w:jc w:val="both"/>
        <w:rPr>
          <w:rFonts w:ascii="Times New Roman" w:hAnsi="Times New Roman"/>
          <w:color w:val="000000"/>
          <w:sz w:val="25"/>
          <w:szCs w:val="25"/>
        </w:rPr>
      </w:pPr>
      <w:r w:rsidRPr="001F5A3B">
        <w:rPr>
          <w:rFonts w:ascii="Times New Roman" w:hAnsi="Times New Roman"/>
          <w:color w:val="000000"/>
          <w:sz w:val="25"/>
          <w:szCs w:val="25"/>
        </w:rPr>
        <w:t xml:space="preserve">a jogi személy vagy jogi személyiséggel nem rendelkező szervezet ügyfél valamely stratégiai hiányosságokkal rendelkező, kiemelt kockázatot jelentő harmadik országban bejegyzett gazdasági társaság leányvállalata, vagy szervezet magyarországi képviselete; </w:t>
      </w:r>
    </w:p>
    <w:p w:rsidR="00A40523" w:rsidRPr="001F5A3B" w:rsidRDefault="00A40523" w:rsidP="00A40523">
      <w:pPr>
        <w:pStyle w:val="Listaszerbekezds"/>
        <w:numPr>
          <w:ilvl w:val="0"/>
          <w:numId w:val="1"/>
        </w:numPr>
        <w:autoSpaceDE w:val="0"/>
        <w:autoSpaceDN w:val="0"/>
        <w:adjustRightInd w:val="0"/>
        <w:spacing w:after="0" w:line="240" w:lineRule="auto"/>
        <w:jc w:val="both"/>
        <w:rPr>
          <w:rFonts w:ascii="Times New Roman" w:hAnsi="Times New Roman"/>
          <w:color w:val="000000"/>
          <w:sz w:val="25"/>
          <w:szCs w:val="25"/>
        </w:rPr>
      </w:pPr>
      <w:r w:rsidRPr="001F5A3B">
        <w:rPr>
          <w:rFonts w:ascii="Times New Roman" w:hAnsi="Times New Roman"/>
          <w:color w:val="000000"/>
          <w:sz w:val="25"/>
          <w:szCs w:val="25"/>
        </w:rPr>
        <w:t>az ügyfél stratégiai hiányosságokkal rendelkező, kiemelt kockázatot jelentő harmadik országban bejegyzett társasággal létesít</w:t>
      </w:r>
      <w:r w:rsidR="008A23B7" w:rsidRPr="001F5A3B">
        <w:rPr>
          <w:rFonts w:ascii="Times New Roman" w:hAnsi="Times New Roman"/>
          <w:color w:val="000000"/>
          <w:sz w:val="25"/>
          <w:szCs w:val="25"/>
        </w:rPr>
        <w:t>, folytat gazdasági kapcsolatot.</w:t>
      </w:r>
      <w:r w:rsidRPr="001F5A3B">
        <w:rPr>
          <w:rFonts w:ascii="Times New Roman" w:hAnsi="Times New Roman"/>
          <w:color w:val="000000"/>
          <w:sz w:val="25"/>
          <w:szCs w:val="25"/>
        </w:rPr>
        <w:t xml:space="preserve"> </w:t>
      </w:r>
    </w:p>
    <w:p w:rsidR="00A40523" w:rsidRPr="001F5A3B" w:rsidRDefault="00A40523" w:rsidP="00A40523">
      <w:pPr>
        <w:keepNext/>
        <w:spacing w:after="0" w:line="240" w:lineRule="auto"/>
        <w:outlineLvl w:val="0"/>
        <w:rPr>
          <w:rFonts w:ascii="Times New Roman" w:eastAsia="Times New Roman" w:hAnsi="Times New Roman" w:cs="Times New Roman"/>
          <w:b/>
          <w:sz w:val="25"/>
          <w:szCs w:val="25"/>
          <w:lang w:eastAsia="hu-HU"/>
        </w:rPr>
      </w:pPr>
    </w:p>
    <w:p w:rsidR="00A40523" w:rsidRPr="001F5A3B" w:rsidRDefault="00A40523" w:rsidP="008A23B7">
      <w:pPr>
        <w:pStyle w:val="Listaszerbekezds"/>
        <w:numPr>
          <w:ilvl w:val="0"/>
          <w:numId w:val="6"/>
        </w:numPr>
        <w:autoSpaceDE w:val="0"/>
        <w:autoSpaceDN w:val="0"/>
        <w:adjustRightInd w:val="0"/>
        <w:spacing w:after="0" w:line="240" w:lineRule="auto"/>
        <w:jc w:val="both"/>
        <w:rPr>
          <w:rFonts w:ascii="Times New Roman" w:hAnsi="Times New Roman"/>
          <w:b/>
          <w:color w:val="000000"/>
          <w:sz w:val="25"/>
          <w:szCs w:val="25"/>
        </w:rPr>
      </w:pPr>
      <w:r w:rsidRPr="001F5A3B">
        <w:rPr>
          <w:rFonts w:ascii="Times New Roman" w:hAnsi="Times New Roman"/>
          <w:b/>
          <w:color w:val="000000"/>
          <w:sz w:val="25"/>
          <w:szCs w:val="25"/>
        </w:rPr>
        <w:t>Az üzleti kapcsolat fennállása során, a monitoring keretében az alábbi kockázati tényezőkre kell különösen figyelemmel lennie a szolgál</w:t>
      </w:r>
      <w:r w:rsidR="008A23B7" w:rsidRPr="001F5A3B">
        <w:rPr>
          <w:rFonts w:ascii="Times New Roman" w:hAnsi="Times New Roman"/>
          <w:b/>
          <w:color w:val="000000"/>
          <w:sz w:val="25"/>
          <w:szCs w:val="25"/>
        </w:rPr>
        <w:t>tat</w:t>
      </w:r>
      <w:r w:rsidRPr="001F5A3B">
        <w:rPr>
          <w:rFonts w:ascii="Times New Roman" w:hAnsi="Times New Roman"/>
          <w:b/>
          <w:color w:val="000000"/>
          <w:sz w:val="25"/>
          <w:szCs w:val="25"/>
        </w:rPr>
        <w:t>ónak:</w:t>
      </w:r>
    </w:p>
    <w:p w:rsidR="00A40523" w:rsidRPr="001F5A3B" w:rsidRDefault="00A40523" w:rsidP="00A40523">
      <w:pPr>
        <w:autoSpaceDE w:val="0"/>
        <w:autoSpaceDN w:val="0"/>
        <w:adjustRightInd w:val="0"/>
        <w:spacing w:after="0" w:line="240" w:lineRule="auto"/>
        <w:jc w:val="both"/>
        <w:rPr>
          <w:rFonts w:ascii="Times New Roman" w:hAnsi="Times New Roman" w:cs="Times New Roman"/>
          <w:color w:val="000000"/>
          <w:sz w:val="25"/>
          <w:szCs w:val="25"/>
        </w:rPr>
      </w:pPr>
    </w:p>
    <w:p w:rsidR="00A40523" w:rsidRPr="001F5A3B" w:rsidRDefault="00A40523" w:rsidP="008A23B7">
      <w:pPr>
        <w:pStyle w:val="Listaszerbekezds"/>
        <w:numPr>
          <w:ilvl w:val="1"/>
          <w:numId w:val="6"/>
        </w:numPr>
        <w:autoSpaceDE w:val="0"/>
        <w:autoSpaceDN w:val="0"/>
        <w:adjustRightInd w:val="0"/>
        <w:spacing w:after="0" w:line="240" w:lineRule="auto"/>
        <w:jc w:val="both"/>
        <w:rPr>
          <w:rFonts w:ascii="Times New Roman" w:hAnsi="Times New Roman" w:cs="Times New Roman"/>
          <w:color w:val="000000"/>
          <w:sz w:val="25"/>
          <w:szCs w:val="25"/>
        </w:rPr>
      </w:pPr>
      <w:r w:rsidRPr="001F5A3B">
        <w:rPr>
          <w:rFonts w:ascii="Times New Roman" w:hAnsi="Times New Roman" w:cs="Times New Roman"/>
          <w:color w:val="000000"/>
          <w:sz w:val="25"/>
          <w:szCs w:val="25"/>
        </w:rPr>
        <w:t>A számviteli nyilvántartásokban talált egyezőtlenségek, beleértve az alábbiakat:</w:t>
      </w:r>
    </w:p>
    <w:p w:rsidR="00A40523" w:rsidRPr="001F5A3B" w:rsidRDefault="00A40523" w:rsidP="00A40523">
      <w:pPr>
        <w:autoSpaceDE w:val="0"/>
        <w:autoSpaceDN w:val="0"/>
        <w:adjustRightInd w:val="0"/>
        <w:spacing w:after="0" w:line="240" w:lineRule="auto"/>
        <w:jc w:val="both"/>
        <w:rPr>
          <w:rFonts w:ascii="Times New Roman" w:hAnsi="Times New Roman" w:cs="Times New Roman"/>
          <w:color w:val="000000"/>
          <w:sz w:val="25"/>
          <w:szCs w:val="25"/>
        </w:rPr>
      </w:pPr>
    </w:p>
    <w:p w:rsidR="00A40523" w:rsidRPr="001F5A3B" w:rsidRDefault="00A40523" w:rsidP="00A40523">
      <w:pPr>
        <w:pStyle w:val="Listaszerbekezds"/>
        <w:numPr>
          <w:ilvl w:val="0"/>
          <w:numId w:val="2"/>
        </w:numPr>
        <w:autoSpaceDE w:val="0"/>
        <w:autoSpaceDN w:val="0"/>
        <w:adjustRightInd w:val="0"/>
        <w:spacing w:after="0" w:line="240" w:lineRule="auto"/>
        <w:jc w:val="both"/>
        <w:rPr>
          <w:rFonts w:ascii="Times New Roman" w:hAnsi="Times New Roman"/>
          <w:color w:val="000000"/>
          <w:sz w:val="25"/>
          <w:szCs w:val="25"/>
        </w:rPr>
      </w:pPr>
      <w:r w:rsidRPr="001F5A3B">
        <w:rPr>
          <w:rFonts w:ascii="Times New Roman" w:hAnsi="Times New Roman"/>
          <w:color w:val="000000"/>
          <w:sz w:val="25"/>
          <w:szCs w:val="25"/>
        </w:rPr>
        <w:t>olyan ügyletek, amelyeket nem rögzítenek teljesen vagy időben, vagy amelyeket nem megfelelően rögzítettek az összeg, a beszámolási időszak, a besorolás vagy a gazdálkodó egység politikája tekintetében</w:t>
      </w:r>
    </w:p>
    <w:p w:rsidR="00A40523" w:rsidRPr="001F5A3B" w:rsidRDefault="00A40523" w:rsidP="00A40523">
      <w:pPr>
        <w:pStyle w:val="Listaszerbekezds"/>
        <w:numPr>
          <w:ilvl w:val="0"/>
          <w:numId w:val="2"/>
        </w:numPr>
        <w:autoSpaceDE w:val="0"/>
        <w:autoSpaceDN w:val="0"/>
        <w:adjustRightInd w:val="0"/>
        <w:spacing w:after="0" w:line="240" w:lineRule="auto"/>
        <w:jc w:val="both"/>
        <w:rPr>
          <w:rFonts w:ascii="Times New Roman" w:hAnsi="Times New Roman"/>
          <w:color w:val="000000"/>
          <w:sz w:val="25"/>
          <w:szCs w:val="25"/>
        </w:rPr>
      </w:pPr>
      <w:r w:rsidRPr="001F5A3B">
        <w:rPr>
          <w:rFonts w:ascii="Times New Roman" w:hAnsi="Times New Roman"/>
          <w:color w:val="000000"/>
          <w:sz w:val="25"/>
          <w:szCs w:val="25"/>
        </w:rPr>
        <w:t>alá nem támasztott vagy nem engedélyezett egyenlegek vagy ügyletek</w:t>
      </w:r>
    </w:p>
    <w:p w:rsidR="00A40523" w:rsidRPr="001F5A3B" w:rsidRDefault="00A40523" w:rsidP="00A40523">
      <w:pPr>
        <w:pStyle w:val="Listaszerbekezds"/>
        <w:numPr>
          <w:ilvl w:val="0"/>
          <w:numId w:val="2"/>
        </w:numPr>
        <w:autoSpaceDE w:val="0"/>
        <w:autoSpaceDN w:val="0"/>
        <w:adjustRightInd w:val="0"/>
        <w:spacing w:after="0" w:line="240" w:lineRule="auto"/>
        <w:jc w:val="both"/>
        <w:rPr>
          <w:rFonts w:ascii="Times New Roman" w:hAnsi="Times New Roman"/>
          <w:color w:val="000000"/>
          <w:sz w:val="25"/>
          <w:szCs w:val="25"/>
        </w:rPr>
      </w:pPr>
      <w:r w:rsidRPr="001F5A3B">
        <w:rPr>
          <w:rFonts w:ascii="Times New Roman" w:hAnsi="Times New Roman"/>
          <w:color w:val="000000"/>
          <w:sz w:val="25"/>
          <w:szCs w:val="25"/>
        </w:rPr>
        <w:t>utolsó pillanatban tett helyesbítések, amelyek jelentősen befolyásolják a pénzügyi eredményeket</w:t>
      </w:r>
    </w:p>
    <w:p w:rsidR="00A40523" w:rsidRPr="001F5A3B" w:rsidRDefault="00A40523" w:rsidP="00A40523">
      <w:pPr>
        <w:pStyle w:val="Listaszerbekezds"/>
        <w:numPr>
          <w:ilvl w:val="0"/>
          <w:numId w:val="2"/>
        </w:numPr>
        <w:autoSpaceDE w:val="0"/>
        <w:autoSpaceDN w:val="0"/>
        <w:adjustRightInd w:val="0"/>
        <w:spacing w:after="0" w:line="240" w:lineRule="auto"/>
        <w:jc w:val="both"/>
        <w:rPr>
          <w:rFonts w:ascii="Times New Roman" w:hAnsi="Times New Roman"/>
          <w:color w:val="000000"/>
          <w:sz w:val="25"/>
          <w:szCs w:val="25"/>
        </w:rPr>
      </w:pPr>
      <w:r w:rsidRPr="001F5A3B">
        <w:rPr>
          <w:rFonts w:ascii="Times New Roman" w:hAnsi="Times New Roman"/>
          <w:color w:val="000000"/>
          <w:sz w:val="25"/>
          <w:szCs w:val="25"/>
        </w:rPr>
        <w:t>arra vonatkozó bizonyíték, hogy a munkavállalóknak olyan rendszerekhez és nyilvántartásokhoz van hozzáférésük, amelyek nincsenek összhangban a jóváhagyott feladataik elvégzéséhez szükségesekkel</w:t>
      </w:r>
    </w:p>
    <w:p w:rsidR="00A40523" w:rsidRPr="001F5A3B" w:rsidRDefault="00A40523" w:rsidP="00A40523">
      <w:pPr>
        <w:pStyle w:val="Listaszerbekezds"/>
        <w:autoSpaceDE w:val="0"/>
        <w:autoSpaceDN w:val="0"/>
        <w:adjustRightInd w:val="0"/>
        <w:spacing w:after="0" w:line="240" w:lineRule="auto"/>
        <w:jc w:val="both"/>
        <w:rPr>
          <w:rFonts w:ascii="Times New Roman" w:hAnsi="Times New Roman"/>
          <w:color w:val="000000"/>
          <w:sz w:val="25"/>
          <w:szCs w:val="25"/>
        </w:rPr>
      </w:pPr>
    </w:p>
    <w:p w:rsidR="00A40523" w:rsidRPr="001F5A3B" w:rsidRDefault="00A40523" w:rsidP="008A23B7">
      <w:pPr>
        <w:pStyle w:val="Listaszerbekezds"/>
        <w:numPr>
          <w:ilvl w:val="1"/>
          <w:numId w:val="6"/>
        </w:numPr>
        <w:autoSpaceDE w:val="0"/>
        <w:autoSpaceDN w:val="0"/>
        <w:adjustRightInd w:val="0"/>
        <w:spacing w:after="0" w:line="240" w:lineRule="auto"/>
        <w:jc w:val="both"/>
        <w:rPr>
          <w:rFonts w:ascii="Times New Roman" w:hAnsi="Times New Roman" w:cs="Times New Roman"/>
          <w:color w:val="000000"/>
          <w:sz w:val="25"/>
          <w:szCs w:val="25"/>
        </w:rPr>
      </w:pPr>
      <w:r w:rsidRPr="001F5A3B">
        <w:rPr>
          <w:rFonts w:ascii="Times New Roman" w:hAnsi="Times New Roman" w:cs="Times New Roman"/>
          <w:color w:val="000000"/>
          <w:sz w:val="25"/>
          <w:szCs w:val="25"/>
        </w:rPr>
        <w:t>Ellentmondásos vagy hiányzó bizonyíték, beleértve az alábbiakat:</w:t>
      </w:r>
    </w:p>
    <w:p w:rsidR="00A40523" w:rsidRPr="001F5A3B" w:rsidRDefault="00A40523" w:rsidP="00A40523">
      <w:pPr>
        <w:autoSpaceDE w:val="0"/>
        <w:autoSpaceDN w:val="0"/>
        <w:adjustRightInd w:val="0"/>
        <w:spacing w:after="0" w:line="240" w:lineRule="auto"/>
        <w:jc w:val="both"/>
        <w:rPr>
          <w:rFonts w:ascii="Times New Roman" w:hAnsi="Times New Roman" w:cs="Times New Roman"/>
          <w:color w:val="000000"/>
          <w:sz w:val="25"/>
          <w:szCs w:val="25"/>
        </w:rPr>
      </w:pPr>
    </w:p>
    <w:p w:rsidR="00A40523" w:rsidRPr="001F5A3B" w:rsidRDefault="00A40523" w:rsidP="00A40523">
      <w:pPr>
        <w:pStyle w:val="Listaszerbekezds"/>
        <w:numPr>
          <w:ilvl w:val="0"/>
          <w:numId w:val="3"/>
        </w:numPr>
        <w:autoSpaceDE w:val="0"/>
        <w:autoSpaceDN w:val="0"/>
        <w:adjustRightInd w:val="0"/>
        <w:spacing w:after="0" w:line="240" w:lineRule="auto"/>
        <w:jc w:val="both"/>
        <w:rPr>
          <w:rFonts w:ascii="Times New Roman" w:hAnsi="Times New Roman"/>
          <w:color w:val="000000"/>
          <w:sz w:val="25"/>
          <w:szCs w:val="25"/>
        </w:rPr>
      </w:pPr>
      <w:r w:rsidRPr="001F5A3B">
        <w:rPr>
          <w:rFonts w:ascii="Times New Roman" w:hAnsi="Times New Roman"/>
          <w:color w:val="000000"/>
          <w:sz w:val="25"/>
          <w:szCs w:val="25"/>
        </w:rPr>
        <w:t>hiányzó dokumentumok</w:t>
      </w:r>
    </w:p>
    <w:p w:rsidR="00A40523" w:rsidRPr="001F5A3B" w:rsidRDefault="00A40523" w:rsidP="00A40523">
      <w:pPr>
        <w:pStyle w:val="Listaszerbekezds"/>
        <w:numPr>
          <w:ilvl w:val="0"/>
          <w:numId w:val="3"/>
        </w:numPr>
        <w:autoSpaceDE w:val="0"/>
        <w:autoSpaceDN w:val="0"/>
        <w:adjustRightInd w:val="0"/>
        <w:spacing w:after="0" w:line="240" w:lineRule="auto"/>
        <w:jc w:val="both"/>
        <w:rPr>
          <w:rFonts w:ascii="Times New Roman" w:hAnsi="Times New Roman"/>
          <w:color w:val="000000"/>
          <w:sz w:val="25"/>
          <w:szCs w:val="25"/>
        </w:rPr>
      </w:pPr>
      <w:r w:rsidRPr="001F5A3B">
        <w:rPr>
          <w:rFonts w:ascii="Times New Roman" w:hAnsi="Times New Roman"/>
          <w:color w:val="000000"/>
          <w:sz w:val="25"/>
          <w:szCs w:val="25"/>
        </w:rPr>
        <w:lastRenderedPageBreak/>
        <w:t>olyan dokumentumok, amelyeket úgy tűnik, megváltoztattak</w:t>
      </w:r>
    </w:p>
    <w:p w:rsidR="00A40523" w:rsidRPr="001F5A3B" w:rsidRDefault="00A40523" w:rsidP="00A40523">
      <w:pPr>
        <w:pStyle w:val="Listaszerbekezds"/>
        <w:numPr>
          <w:ilvl w:val="0"/>
          <w:numId w:val="3"/>
        </w:numPr>
        <w:autoSpaceDE w:val="0"/>
        <w:autoSpaceDN w:val="0"/>
        <w:adjustRightInd w:val="0"/>
        <w:spacing w:after="0" w:line="240" w:lineRule="auto"/>
        <w:jc w:val="both"/>
        <w:rPr>
          <w:rFonts w:ascii="Times New Roman" w:hAnsi="Times New Roman"/>
          <w:color w:val="000000"/>
          <w:sz w:val="25"/>
          <w:szCs w:val="25"/>
        </w:rPr>
      </w:pPr>
      <w:r w:rsidRPr="001F5A3B">
        <w:rPr>
          <w:rFonts w:ascii="Times New Roman" w:hAnsi="Times New Roman"/>
          <w:color w:val="000000"/>
          <w:sz w:val="25"/>
          <w:szCs w:val="25"/>
        </w:rPr>
        <w:t>fénymásolt vagy elektronikusan átküldött dokumentumokon kívül más nem áll rendelkezésre, amikor a dokumentumok eredeti formájukban vélhetően léteznek</w:t>
      </w:r>
    </w:p>
    <w:p w:rsidR="00A40523" w:rsidRPr="001F5A3B" w:rsidRDefault="00A40523" w:rsidP="00A40523">
      <w:pPr>
        <w:pStyle w:val="Listaszerbekezds"/>
        <w:numPr>
          <w:ilvl w:val="0"/>
          <w:numId w:val="3"/>
        </w:numPr>
        <w:autoSpaceDE w:val="0"/>
        <w:autoSpaceDN w:val="0"/>
        <w:adjustRightInd w:val="0"/>
        <w:spacing w:after="0" w:line="240" w:lineRule="auto"/>
        <w:jc w:val="both"/>
        <w:rPr>
          <w:rFonts w:ascii="Times New Roman" w:hAnsi="Times New Roman"/>
          <w:color w:val="000000"/>
          <w:sz w:val="25"/>
          <w:szCs w:val="25"/>
        </w:rPr>
      </w:pPr>
      <w:r w:rsidRPr="001F5A3B">
        <w:rPr>
          <w:rFonts w:ascii="Times New Roman" w:hAnsi="Times New Roman"/>
          <w:color w:val="000000"/>
          <w:sz w:val="25"/>
          <w:szCs w:val="25"/>
        </w:rPr>
        <w:t>jelentős megmagyarázatlan tételek az egyeztetés során</w:t>
      </w:r>
    </w:p>
    <w:p w:rsidR="00A40523" w:rsidRPr="001F5A3B" w:rsidRDefault="00A40523" w:rsidP="00A40523">
      <w:pPr>
        <w:pStyle w:val="Listaszerbekezds"/>
        <w:numPr>
          <w:ilvl w:val="0"/>
          <w:numId w:val="3"/>
        </w:numPr>
        <w:autoSpaceDE w:val="0"/>
        <w:autoSpaceDN w:val="0"/>
        <w:adjustRightInd w:val="0"/>
        <w:spacing w:after="0" w:line="240" w:lineRule="auto"/>
        <w:jc w:val="both"/>
        <w:rPr>
          <w:rFonts w:ascii="Times New Roman" w:hAnsi="Times New Roman"/>
          <w:color w:val="000000"/>
          <w:sz w:val="25"/>
          <w:szCs w:val="25"/>
        </w:rPr>
      </w:pPr>
      <w:r w:rsidRPr="001F5A3B">
        <w:rPr>
          <w:rFonts w:ascii="Times New Roman" w:hAnsi="Times New Roman"/>
          <w:color w:val="000000"/>
          <w:sz w:val="25"/>
          <w:szCs w:val="25"/>
        </w:rPr>
        <w:t>szokatlan változások a mérlegben, a tendenciákban vagy a pénzügyi kimutatás fontos mutatóiban vagy kapcsolataiban – például a követelések gyorsabban nőnek, mint a bevételek</w:t>
      </w:r>
    </w:p>
    <w:p w:rsidR="00A40523" w:rsidRPr="001F5A3B" w:rsidRDefault="00A40523" w:rsidP="00A40523">
      <w:pPr>
        <w:pStyle w:val="Listaszerbekezds"/>
        <w:numPr>
          <w:ilvl w:val="0"/>
          <w:numId w:val="3"/>
        </w:numPr>
        <w:autoSpaceDE w:val="0"/>
        <w:autoSpaceDN w:val="0"/>
        <w:adjustRightInd w:val="0"/>
        <w:spacing w:after="0" w:line="240" w:lineRule="auto"/>
        <w:jc w:val="both"/>
        <w:rPr>
          <w:rFonts w:ascii="Times New Roman" w:hAnsi="Times New Roman"/>
          <w:color w:val="000000"/>
          <w:sz w:val="25"/>
          <w:szCs w:val="25"/>
        </w:rPr>
      </w:pPr>
      <w:r w:rsidRPr="001F5A3B">
        <w:rPr>
          <w:rFonts w:ascii="Times New Roman" w:hAnsi="Times New Roman"/>
          <w:color w:val="000000"/>
          <w:sz w:val="25"/>
          <w:szCs w:val="25"/>
        </w:rPr>
        <w:t>következetlen, pontatlan vagy valószínűtlen válaszok a vezetéstől vagy a munkavállalóktól az interjúk vagy elemző eljárások során</w:t>
      </w:r>
    </w:p>
    <w:p w:rsidR="00A40523" w:rsidRPr="001F5A3B" w:rsidRDefault="00A40523" w:rsidP="00A40523">
      <w:pPr>
        <w:pStyle w:val="Listaszerbekezds"/>
        <w:numPr>
          <w:ilvl w:val="0"/>
          <w:numId w:val="3"/>
        </w:numPr>
        <w:autoSpaceDE w:val="0"/>
        <w:autoSpaceDN w:val="0"/>
        <w:adjustRightInd w:val="0"/>
        <w:spacing w:after="0" w:line="240" w:lineRule="auto"/>
        <w:jc w:val="both"/>
        <w:rPr>
          <w:rFonts w:ascii="Times New Roman" w:hAnsi="Times New Roman"/>
          <w:color w:val="000000"/>
          <w:sz w:val="25"/>
          <w:szCs w:val="25"/>
        </w:rPr>
      </w:pPr>
      <w:r w:rsidRPr="001F5A3B">
        <w:rPr>
          <w:rFonts w:ascii="Times New Roman" w:hAnsi="Times New Roman"/>
          <w:color w:val="000000"/>
          <w:sz w:val="25"/>
          <w:szCs w:val="25"/>
        </w:rPr>
        <w:t>szokatlan eltérések a gazdálkodó egység nyilvántartásai és a megerősítésre kapott válaszok között</w:t>
      </w:r>
    </w:p>
    <w:p w:rsidR="00A40523" w:rsidRPr="001F5A3B" w:rsidRDefault="00A40523" w:rsidP="00A40523">
      <w:pPr>
        <w:pStyle w:val="Listaszerbekezds"/>
        <w:numPr>
          <w:ilvl w:val="0"/>
          <w:numId w:val="3"/>
        </w:numPr>
        <w:autoSpaceDE w:val="0"/>
        <w:autoSpaceDN w:val="0"/>
        <w:adjustRightInd w:val="0"/>
        <w:spacing w:after="0" w:line="240" w:lineRule="auto"/>
        <w:jc w:val="both"/>
        <w:rPr>
          <w:rFonts w:ascii="Times New Roman" w:hAnsi="Times New Roman"/>
          <w:color w:val="000000"/>
          <w:sz w:val="25"/>
          <w:szCs w:val="25"/>
        </w:rPr>
      </w:pPr>
      <w:r w:rsidRPr="001F5A3B">
        <w:rPr>
          <w:rFonts w:ascii="Times New Roman" w:hAnsi="Times New Roman"/>
          <w:color w:val="000000"/>
          <w:sz w:val="25"/>
          <w:szCs w:val="25"/>
        </w:rPr>
        <w:t>nagyszámú követel tétel és egyéb helyesbítés a követelés-nyilvántartásokban</w:t>
      </w:r>
    </w:p>
    <w:p w:rsidR="00A40523" w:rsidRPr="001F5A3B" w:rsidRDefault="00A40523" w:rsidP="00A40523">
      <w:pPr>
        <w:pStyle w:val="Listaszerbekezds"/>
        <w:numPr>
          <w:ilvl w:val="0"/>
          <w:numId w:val="3"/>
        </w:numPr>
        <w:autoSpaceDE w:val="0"/>
        <w:autoSpaceDN w:val="0"/>
        <w:adjustRightInd w:val="0"/>
        <w:spacing w:after="0" w:line="240" w:lineRule="auto"/>
        <w:jc w:val="both"/>
        <w:rPr>
          <w:rFonts w:ascii="Times New Roman" w:hAnsi="Times New Roman"/>
          <w:color w:val="000000"/>
          <w:sz w:val="25"/>
          <w:szCs w:val="25"/>
        </w:rPr>
      </w:pPr>
      <w:r w:rsidRPr="001F5A3B">
        <w:rPr>
          <w:rFonts w:ascii="Times New Roman" w:hAnsi="Times New Roman"/>
          <w:color w:val="000000"/>
          <w:sz w:val="25"/>
          <w:szCs w:val="25"/>
        </w:rPr>
        <w:t>megmagyarázatlan vagy nem megfelelően megmagyarázott különbségek a követelések analitikája és az összesítő számla között, vagy az ügyfelek kimutatásai és a követelések analitikája között</w:t>
      </w:r>
    </w:p>
    <w:p w:rsidR="00A40523" w:rsidRPr="001F5A3B" w:rsidRDefault="00A40523" w:rsidP="00A40523">
      <w:pPr>
        <w:pStyle w:val="Listaszerbekezds"/>
        <w:numPr>
          <w:ilvl w:val="0"/>
          <w:numId w:val="3"/>
        </w:numPr>
        <w:autoSpaceDE w:val="0"/>
        <w:autoSpaceDN w:val="0"/>
        <w:adjustRightInd w:val="0"/>
        <w:spacing w:after="0" w:line="240" w:lineRule="auto"/>
        <w:jc w:val="both"/>
        <w:rPr>
          <w:rFonts w:ascii="Times New Roman" w:hAnsi="Times New Roman"/>
          <w:color w:val="000000"/>
          <w:sz w:val="25"/>
          <w:szCs w:val="25"/>
        </w:rPr>
      </w:pPr>
      <w:r w:rsidRPr="001F5A3B">
        <w:rPr>
          <w:rFonts w:ascii="Times New Roman" w:hAnsi="Times New Roman"/>
          <w:color w:val="000000"/>
          <w:sz w:val="25"/>
          <w:szCs w:val="25"/>
        </w:rPr>
        <w:t>hiányzó vagy nem létező törölt csekkek olyan körülmények között, ahol a törölt csekkek rendszerint visszakerülnek a gazdálkodó egységhez a bankszámlakivonattal</w:t>
      </w:r>
    </w:p>
    <w:p w:rsidR="00A40523" w:rsidRPr="001F5A3B" w:rsidRDefault="00A40523" w:rsidP="00A40523">
      <w:pPr>
        <w:pStyle w:val="Listaszerbekezds"/>
        <w:numPr>
          <w:ilvl w:val="0"/>
          <w:numId w:val="3"/>
        </w:numPr>
        <w:autoSpaceDE w:val="0"/>
        <w:autoSpaceDN w:val="0"/>
        <w:adjustRightInd w:val="0"/>
        <w:spacing w:after="0" w:line="240" w:lineRule="auto"/>
        <w:jc w:val="both"/>
        <w:rPr>
          <w:rFonts w:ascii="Times New Roman" w:hAnsi="Times New Roman"/>
          <w:color w:val="000000"/>
          <w:sz w:val="25"/>
          <w:szCs w:val="25"/>
        </w:rPr>
      </w:pPr>
      <w:r w:rsidRPr="001F5A3B">
        <w:rPr>
          <w:rFonts w:ascii="Times New Roman" w:hAnsi="Times New Roman"/>
          <w:color w:val="000000"/>
          <w:sz w:val="25"/>
          <w:szCs w:val="25"/>
        </w:rPr>
        <w:t>jelentős mértékű hiányzó készlet vagy fizikai eszköz</w:t>
      </w:r>
    </w:p>
    <w:p w:rsidR="00A40523" w:rsidRPr="001F5A3B" w:rsidRDefault="00A40523" w:rsidP="00A40523">
      <w:pPr>
        <w:pStyle w:val="Listaszerbekezds"/>
        <w:numPr>
          <w:ilvl w:val="0"/>
          <w:numId w:val="3"/>
        </w:numPr>
        <w:autoSpaceDE w:val="0"/>
        <w:autoSpaceDN w:val="0"/>
        <w:adjustRightInd w:val="0"/>
        <w:spacing w:after="0" w:line="240" w:lineRule="auto"/>
        <w:jc w:val="both"/>
        <w:rPr>
          <w:rFonts w:ascii="Times New Roman" w:hAnsi="Times New Roman"/>
          <w:color w:val="000000"/>
          <w:sz w:val="25"/>
          <w:szCs w:val="25"/>
        </w:rPr>
      </w:pPr>
      <w:r w:rsidRPr="001F5A3B">
        <w:rPr>
          <w:rFonts w:ascii="Times New Roman" w:hAnsi="Times New Roman"/>
          <w:color w:val="000000"/>
          <w:sz w:val="25"/>
          <w:szCs w:val="25"/>
        </w:rPr>
        <w:t>rendelkezésre nem álló vagy hiányzó elektronikus bizonyíték, amely nincs összhangban a gazdálkodó egység bizonylatmegőrzési gyakorlataival vagy politikáival</w:t>
      </w:r>
    </w:p>
    <w:p w:rsidR="00A40523" w:rsidRPr="001F5A3B" w:rsidRDefault="00A40523" w:rsidP="00A40523">
      <w:pPr>
        <w:pStyle w:val="Listaszerbekezds"/>
        <w:numPr>
          <w:ilvl w:val="0"/>
          <w:numId w:val="3"/>
        </w:numPr>
        <w:autoSpaceDE w:val="0"/>
        <w:autoSpaceDN w:val="0"/>
        <w:adjustRightInd w:val="0"/>
        <w:spacing w:after="0" w:line="240" w:lineRule="auto"/>
        <w:jc w:val="both"/>
        <w:rPr>
          <w:rFonts w:ascii="Times New Roman" w:hAnsi="Times New Roman"/>
          <w:color w:val="000000"/>
          <w:sz w:val="25"/>
          <w:szCs w:val="25"/>
        </w:rPr>
      </w:pPr>
      <w:r w:rsidRPr="001F5A3B">
        <w:rPr>
          <w:rFonts w:ascii="Times New Roman" w:hAnsi="Times New Roman"/>
          <w:color w:val="000000"/>
          <w:sz w:val="25"/>
          <w:szCs w:val="25"/>
        </w:rPr>
        <w:t>a vártnál kevesebb válasz a megerősítésekre vagy a vártnál nagyobb számú válasz</w:t>
      </w:r>
    </w:p>
    <w:p w:rsidR="00A40523" w:rsidRPr="001F5A3B" w:rsidRDefault="00A40523" w:rsidP="00A40523">
      <w:pPr>
        <w:pStyle w:val="Listaszerbekezds"/>
        <w:numPr>
          <w:ilvl w:val="0"/>
          <w:numId w:val="3"/>
        </w:numPr>
        <w:autoSpaceDE w:val="0"/>
        <w:autoSpaceDN w:val="0"/>
        <w:adjustRightInd w:val="0"/>
        <w:spacing w:after="0" w:line="240" w:lineRule="auto"/>
        <w:jc w:val="both"/>
        <w:rPr>
          <w:rFonts w:ascii="Times New Roman" w:hAnsi="Times New Roman"/>
          <w:color w:val="000000"/>
          <w:sz w:val="25"/>
          <w:szCs w:val="25"/>
        </w:rPr>
      </w:pPr>
      <w:r w:rsidRPr="001F5A3B">
        <w:rPr>
          <w:rFonts w:ascii="Times New Roman" w:hAnsi="Times New Roman"/>
          <w:color w:val="000000"/>
          <w:sz w:val="25"/>
          <w:szCs w:val="25"/>
        </w:rPr>
        <w:t>a gazdálkodó egység nem tud bizonyítékkal szolgálni a kulcsfontosságú rendszerek fejlesztésére és a programváltoztatások tesztelésére, valamint a tárgyévi rendszerváltoztatások és alkalmazások bevezetési tevékenységeire vonatkozóan.</w:t>
      </w:r>
    </w:p>
    <w:p w:rsidR="00A40523" w:rsidRPr="001F5A3B" w:rsidRDefault="00A40523" w:rsidP="00A40523">
      <w:pPr>
        <w:pStyle w:val="Listaszerbekezds"/>
        <w:autoSpaceDE w:val="0"/>
        <w:autoSpaceDN w:val="0"/>
        <w:adjustRightInd w:val="0"/>
        <w:spacing w:after="0" w:line="240" w:lineRule="auto"/>
        <w:jc w:val="both"/>
        <w:rPr>
          <w:rFonts w:ascii="Times New Roman" w:hAnsi="Times New Roman"/>
          <w:color w:val="000000"/>
          <w:sz w:val="25"/>
          <w:szCs w:val="25"/>
        </w:rPr>
      </w:pPr>
    </w:p>
    <w:p w:rsidR="00A40523" w:rsidRPr="001F5A3B" w:rsidRDefault="00A40523" w:rsidP="008A23B7">
      <w:pPr>
        <w:pStyle w:val="Listaszerbekezds"/>
        <w:numPr>
          <w:ilvl w:val="1"/>
          <w:numId w:val="6"/>
        </w:numPr>
        <w:autoSpaceDE w:val="0"/>
        <w:autoSpaceDN w:val="0"/>
        <w:adjustRightInd w:val="0"/>
        <w:spacing w:after="0" w:line="240" w:lineRule="auto"/>
        <w:jc w:val="both"/>
        <w:rPr>
          <w:rFonts w:ascii="Times New Roman" w:hAnsi="Times New Roman" w:cs="Times New Roman"/>
          <w:color w:val="000000"/>
          <w:sz w:val="25"/>
          <w:szCs w:val="25"/>
        </w:rPr>
      </w:pPr>
      <w:r w:rsidRPr="001F5A3B">
        <w:rPr>
          <w:rFonts w:ascii="Times New Roman" w:hAnsi="Times New Roman" w:cs="Times New Roman"/>
          <w:color w:val="000000"/>
          <w:sz w:val="25"/>
          <w:szCs w:val="25"/>
        </w:rPr>
        <w:t>Problémás vagy szokatlan kapcsolatok a szolgáltató és a vezetés között, beleértve az alábbiakat:</w:t>
      </w:r>
    </w:p>
    <w:p w:rsidR="00A40523" w:rsidRPr="001F5A3B" w:rsidRDefault="00A40523" w:rsidP="00A40523">
      <w:pPr>
        <w:autoSpaceDE w:val="0"/>
        <w:autoSpaceDN w:val="0"/>
        <w:adjustRightInd w:val="0"/>
        <w:spacing w:after="0" w:line="240" w:lineRule="auto"/>
        <w:jc w:val="both"/>
        <w:rPr>
          <w:rFonts w:ascii="Times New Roman" w:hAnsi="Times New Roman" w:cs="Times New Roman"/>
          <w:color w:val="000000"/>
          <w:sz w:val="25"/>
          <w:szCs w:val="25"/>
        </w:rPr>
      </w:pPr>
    </w:p>
    <w:p w:rsidR="00A40523" w:rsidRPr="001F5A3B" w:rsidRDefault="00A40523" w:rsidP="00A40523">
      <w:pPr>
        <w:pStyle w:val="Listaszerbekezds"/>
        <w:numPr>
          <w:ilvl w:val="0"/>
          <w:numId w:val="4"/>
        </w:numPr>
        <w:autoSpaceDE w:val="0"/>
        <w:autoSpaceDN w:val="0"/>
        <w:adjustRightInd w:val="0"/>
        <w:spacing w:after="0" w:line="240" w:lineRule="auto"/>
        <w:jc w:val="both"/>
        <w:rPr>
          <w:rFonts w:ascii="Times New Roman" w:hAnsi="Times New Roman"/>
          <w:color w:val="000000"/>
          <w:sz w:val="25"/>
          <w:szCs w:val="25"/>
        </w:rPr>
      </w:pPr>
      <w:r w:rsidRPr="001F5A3B">
        <w:rPr>
          <w:rFonts w:ascii="Times New Roman" w:hAnsi="Times New Roman"/>
          <w:color w:val="000000"/>
          <w:sz w:val="25"/>
          <w:szCs w:val="25"/>
        </w:rPr>
        <w:t>hozzáférés megtagadása nyilvántartásokhoz, eszközökhöz, bizonyos munkavállalókhoz, ügyfelekhez, szállítókhoz vagy másokhoz, akiktől esetleg könyvvizsgálati bizonyítékot lehet szerezni</w:t>
      </w:r>
    </w:p>
    <w:p w:rsidR="00A40523" w:rsidRPr="001F5A3B" w:rsidRDefault="00A40523" w:rsidP="00A40523">
      <w:pPr>
        <w:pStyle w:val="Listaszerbekezds"/>
        <w:numPr>
          <w:ilvl w:val="0"/>
          <w:numId w:val="4"/>
        </w:numPr>
        <w:autoSpaceDE w:val="0"/>
        <w:autoSpaceDN w:val="0"/>
        <w:adjustRightInd w:val="0"/>
        <w:spacing w:after="0" w:line="240" w:lineRule="auto"/>
        <w:jc w:val="both"/>
        <w:rPr>
          <w:rFonts w:ascii="Times New Roman" w:hAnsi="Times New Roman"/>
          <w:color w:val="000000"/>
          <w:sz w:val="25"/>
          <w:szCs w:val="25"/>
        </w:rPr>
      </w:pPr>
      <w:r w:rsidRPr="001F5A3B">
        <w:rPr>
          <w:rFonts w:ascii="Times New Roman" w:hAnsi="Times New Roman"/>
          <w:color w:val="000000"/>
          <w:sz w:val="25"/>
          <w:szCs w:val="25"/>
        </w:rPr>
        <w:t>hozzáférés megtagadása a kulcsfontosságú informatikai munkatársakhoz és eszközökhöz, beleértve a biztonsági, üzemeltetési, és rendszerfejlesztői munkatársakat</w:t>
      </w:r>
    </w:p>
    <w:p w:rsidR="00A40523" w:rsidRPr="001F5A3B" w:rsidRDefault="00A40523" w:rsidP="00A40523">
      <w:pPr>
        <w:pStyle w:val="Listaszerbekezds"/>
        <w:autoSpaceDE w:val="0"/>
        <w:autoSpaceDN w:val="0"/>
        <w:adjustRightInd w:val="0"/>
        <w:spacing w:after="0" w:line="240" w:lineRule="auto"/>
        <w:jc w:val="both"/>
        <w:rPr>
          <w:rFonts w:ascii="Times New Roman" w:hAnsi="Times New Roman"/>
          <w:color w:val="000000"/>
          <w:sz w:val="25"/>
          <w:szCs w:val="25"/>
        </w:rPr>
      </w:pPr>
    </w:p>
    <w:p w:rsidR="00A40523" w:rsidRPr="001F5A3B" w:rsidRDefault="00A40523" w:rsidP="008A23B7">
      <w:pPr>
        <w:pStyle w:val="Listaszerbekezds"/>
        <w:numPr>
          <w:ilvl w:val="1"/>
          <w:numId w:val="6"/>
        </w:numPr>
        <w:autoSpaceDE w:val="0"/>
        <w:autoSpaceDN w:val="0"/>
        <w:adjustRightInd w:val="0"/>
        <w:spacing w:after="0" w:line="240" w:lineRule="auto"/>
        <w:jc w:val="both"/>
        <w:rPr>
          <w:rFonts w:ascii="Times New Roman" w:hAnsi="Times New Roman" w:cs="Times New Roman"/>
          <w:color w:val="000000"/>
          <w:sz w:val="25"/>
          <w:szCs w:val="25"/>
        </w:rPr>
      </w:pPr>
      <w:r w:rsidRPr="001F5A3B">
        <w:rPr>
          <w:rFonts w:ascii="Times New Roman" w:hAnsi="Times New Roman" w:cs="Times New Roman"/>
          <w:color w:val="000000"/>
          <w:sz w:val="25"/>
          <w:szCs w:val="25"/>
        </w:rPr>
        <w:t>Egyéb</w:t>
      </w:r>
      <w:r w:rsidR="008A23B7" w:rsidRPr="001F5A3B">
        <w:rPr>
          <w:rFonts w:ascii="Times New Roman" w:hAnsi="Times New Roman" w:cs="Times New Roman"/>
          <w:color w:val="000000"/>
          <w:sz w:val="25"/>
          <w:szCs w:val="25"/>
        </w:rPr>
        <w:t xml:space="preserve"> körülmények</w:t>
      </w:r>
      <w:r w:rsidRPr="001F5A3B">
        <w:rPr>
          <w:rFonts w:ascii="Times New Roman" w:hAnsi="Times New Roman" w:cs="Times New Roman"/>
          <w:color w:val="000000"/>
          <w:sz w:val="25"/>
          <w:szCs w:val="25"/>
        </w:rPr>
        <w:t>:</w:t>
      </w:r>
    </w:p>
    <w:p w:rsidR="008A23B7" w:rsidRPr="001F5A3B" w:rsidRDefault="008A23B7" w:rsidP="008A23B7">
      <w:pPr>
        <w:pStyle w:val="Listaszerbekezds"/>
        <w:autoSpaceDE w:val="0"/>
        <w:autoSpaceDN w:val="0"/>
        <w:adjustRightInd w:val="0"/>
        <w:spacing w:after="0" w:line="240" w:lineRule="auto"/>
        <w:jc w:val="both"/>
        <w:rPr>
          <w:rFonts w:ascii="Times New Roman" w:hAnsi="Times New Roman" w:cs="Times New Roman"/>
          <w:color w:val="000000"/>
          <w:sz w:val="25"/>
          <w:szCs w:val="25"/>
        </w:rPr>
      </w:pPr>
    </w:p>
    <w:p w:rsidR="00A40523" w:rsidRPr="001F5A3B" w:rsidRDefault="00A40523" w:rsidP="00A40523">
      <w:pPr>
        <w:pStyle w:val="Listaszerbekezds"/>
        <w:numPr>
          <w:ilvl w:val="0"/>
          <w:numId w:val="5"/>
        </w:numPr>
        <w:autoSpaceDE w:val="0"/>
        <w:autoSpaceDN w:val="0"/>
        <w:adjustRightInd w:val="0"/>
        <w:spacing w:after="0" w:line="240" w:lineRule="auto"/>
        <w:jc w:val="both"/>
        <w:rPr>
          <w:rFonts w:ascii="Times New Roman" w:hAnsi="Times New Roman"/>
          <w:color w:val="000000"/>
          <w:sz w:val="25"/>
          <w:szCs w:val="25"/>
        </w:rPr>
      </w:pPr>
      <w:r w:rsidRPr="001F5A3B">
        <w:rPr>
          <w:rFonts w:ascii="Times New Roman" w:hAnsi="Times New Roman"/>
          <w:color w:val="000000"/>
          <w:sz w:val="25"/>
          <w:szCs w:val="25"/>
        </w:rPr>
        <w:t>a vezetés hajlandóságának hiánya arra vonatkozóan, hogy a szolgáltató külön találkozzon az irán</w:t>
      </w:r>
      <w:r w:rsidR="008A23B7" w:rsidRPr="001F5A3B">
        <w:rPr>
          <w:rFonts w:ascii="Times New Roman" w:hAnsi="Times New Roman"/>
          <w:color w:val="000000"/>
          <w:sz w:val="25"/>
          <w:szCs w:val="25"/>
        </w:rPr>
        <w:t>yítással megbízott személyekkel</w:t>
      </w:r>
    </w:p>
    <w:p w:rsidR="00A40523" w:rsidRPr="001F5A3B" w:rsidRDefault="00A40523" w:rsidP="00A40523">
      <w:pPr>
        <w:pStyle w:val="Listaszerbekezds"/>
        <w:numPr>
          <w:ilvl w:val="0"/>
          <w:numId w:val="5"/>
        </w:numPr>
        <w:autoSpaceDE w:val="0"/>
        <w:autoSpaceDN w:val="0"/>
        <w:adjustRightInd w:val="0"/>
        <w:spacing w:after="0" w:line="240" w:lineRule="auto"/>
        <w:jc w:val="both"/>
        <w:rPr>
          <w:rFonts w:ascii="Times New Roman" w:hAnsi="Times New Roman"/>
          <w:color w:val="000000"/>
          <w:sz w:val="25"/>
          <w:szCs w:val="25"/>
        </w:rPr>
      </w:pPr>
      <w:r w:rsidRPr="001F5A3B">
        <w:rPr>
          <w:rFonts w:ascii="Times New Roman" w:hAnsi="Times New Roman"/>
          <w:color w:val="000000"/>
          <w:sz w:val="25"/>
          <w:szCs w:val="25"/>
        </w:rPr>
        <w:t>olyan számviteli politikák, amelyek az ágazati normáktól eltérőeknek tűnnek.</w:t>
      </w:r>
    </w:p>
    <w:p w:rsidR="00A40523" w:rsidRPr="001F5A3B" w:rsidRDefault="00A40523" w:rsidP="00A40523">
      <w:pPr>
        <w:pStyle w:val="Listaszerbekezds"/>
        <w:numPr>
          <w:ilvl w:val="0"/>
          <w:numId w:val="5"/>
        </w:numPr>
        <w:autoSpaceDE w:val="0"/>
        <w:autoSpaceDN w:val="0"/>
        <w:adjustRightInd w:val="0"/>
        <w:spacing w:after="0" w:line="240" w:lineRule="auto"/>
        <w:jc w:val="both"/>
        <w:rPr>
          <w:rFonts w:ascii="Times New Roman" w:hAnsi="Times New Roman"/>
          <w:color w:val="000000"/>
          <w:sz w:val="25"/>
          <w:szCs w:val="25"/>
        </w:rPr>
      </w:pPr>
      <w:r w:rsidRPr="001F5A3B">
        <w:rPr>
          <w:rFonts w:ascii="Times New Roman" w:hAnsi="Times New Roman"/>
          <w:color w:val="000000"/>
          <w:sz w:val="25"/>
          <w:szCs w:val="25"/>
        </w:rPr>
        <w:t>gyakori változások a számviteli becslésekben, amelyeket úgy tűnik, nem a megváltozott körülmények eredményeznek.</w:t>
      </w:r>
    </w:p>
    <w:p w:rsidR="00A40523" w:rsidRPr="001F5A3B" w:rsidRDefault="00A40523" w:rsidP="00A40523">
      <w:pPr>
        <w:autoSpaceDE w:val="0"/>
        <w:autoSpaceDN w:val="0"/>
        <w:adjustRightInd w:val="0"/>
        <w:spacing w:after="0" w:line="240" w:lineRule="auto"/>
        <w:ind w:left="360"/>
        <w:jc w:val="both"/>
        <w:rPr>
          <w:rFonts w:ascii="Times New Roman" w:hAnsi="Times New Roman"/>
          <w:color w:val="000000"/>
          <w:sz w:val="25"/>
          <w:szCs w:val="25"/>
        </w:rPr>
      </w:pPr>
    </w:p>
    <w:p w:rsidR="008A23B7" w:rsidRPr="001F5A3B" w:rsidRDefault="008A23B7" w:rsidP="00A40523">
      <w:pPr>
        <w:autoSpaceDE w:val="0"/>
        <w:autoSpaceDN w:val="0"/>
        <w:adjustRightInd w:val="0"/>
        <w:spacing w:after="0" w:line="240" w:lineRule="auto"/>
        <w:ind w:left="360"/>
        <w:jc w:val="both"/>
        <w:rPr>
          <w:rFonts w:ascii="Times New Roman" w:hAnsi="Times New Roman"/>
          <w:color w:val="000000"/>
          <w:sz w:val="25"/>
          <w:szCs w:val="25"/>
        </w:rPr>
      </w:pPr>
    </w:p>
    <w:p w:rsidR="008A23B7" w:rsidRPr="001F5A3B" w:rsidRDefault="008A23B7" w:rsidP="00A40523">
      <w:pPr>
        <w:autoSpaceDE w:val="0"/>
        <w:autoSpaceDN w:val="0"/>
        <w:adjustRightInd w:val="0"/>
        <w:spacing w:after="0" w:line="240" w:lineRule="auto"/>
        <w:ind w:left="360"/>
        <w:jc w:val="both"/>
        <w:rPr>
          <w:rFonts w:ascii="Times New Roman" w:hAnsi="Times New Roman"/>
          <w:color w:val="000000"/>
          <w:sz w:val="25"/>
          <w:szCs w:val="25"/>
        </w:rPr>
      </w:pPr>
    </w:p>
    <w:p w:rsidR="008A23B7" w:rsidRPr="001F5A3B" w:rsidRDefault="008A23B7" w:rsidP="00A40523">
      <w:pPr>
        <w:autoSpaceDE w:val="0"/>
        <w:autoSpaceDN w:val="0"/>
        <w:adjustRightInd w:val="0"/>
        <w:spacing w:after="0" w:line="240" w:lineRule="auto"/>
        <w:ind w:left="360"/>
        <w:jc w:val="both"/>
        <w:rPr>
          <w:rFonts w:ascii="Times New Roman" w:hAnsi="Times New Roman"/>
          <w:color w:val="000000"/>
          <w:sz w:val="25"/>
          <w:szCs w:val="25"/>
        </w:rPr>
      </w:pPr>
    </w:p>
    <w:p w:rsidR="00A40523" w:rsidRPr="001F5A3B" w:rsidRDefault="00A40523" w:rsidP="00A40523">
      <w:pPr>
        <w:pStyle w:val="Listaszerbekezds"/>
        <w:numPr>
          <w:ilvl w:val="0"/>
          <w:numId w:val="6"/>
        </w:numPr>
        <w:autoSpaceDE w:val="0"/>
        <w:autoSpaceDN w:val="0"/>
        <w:adjustRightInd w:val="0"/>
        <w:spacing w:after="0" w:line="240" w:lineRule="auto"/>
        <w:jc w:val="both"/>
        <w:rPr>
          <w:rFonts w:ascii="Times New Roman" w:hAnsi="Times New Roman"/>
          <w:b/>
          <w:color w:val="000000"/>
          <w:sz w:val="25"/>
          <w:szCs w:val="25"/>
        </w:rPr>
      </w:pPr>
      <w:r w:rsidRPr="001F5A3B">
        <w:rPr>
          <w:rFonts w:ascii="Times New Roman" w:hAnsi="Times New Roman"/>
          <w:b/>
          <w:color w:val="000000"/>
          <w:sz w:val="25"/>
          <w:szCs w:val="25"/>
        </w:rPr>
        <w:lastRenderedPageBreak/>
        <w:t>A pénzmosás megtörténtének lehetőségére utaló további adatok, tények, körülmények:</w:t>
      </w:r>
    </w:p>
    <w:p w:rsidR="00A40523" w:rsidRPr="001F5A3B" w:rsidRDefault="00A40523" w:rsidP="00A40523">
      <w:pPr>
        <w:pStyle w:val="Szvegtrzsbehzssal31"/>
        <w:ind w:left="0" w:firstLine="0"/>
      </w:pPr>
    </w:p>
    <w:p w:rsidR="00A40523" w:rsidRPr="001F5A3B" w:rsidRDefault="00A40523" w:rsidP="00A40523">
      <w:pPr>
        <w:pStyle w:val="Szvegtrzsbehzssal31"/>
        <w:ind w:left="0" w:firstLine="0"/>
        <w:rPr>
          <w:sz w:val="25"/>
          <w:szCs w:val="25"/>
        </w:rPr>
      </w:pPr>
      <w:r w:rsidRPr="001F5A3B">
        <w:rPr>
          <w:sz w:val="25"/>
          <w:szCs w:val="25"/>
        </w:rPr>
        <w:t>A pénzmosásra, vagy a terrorizmus finanszírozására utaló adat felmerülése során a szolgáltató kiemelten figyelmet fordít a</w:t>
      </w:r>
      <w:r w:rsidRPr="001F5A3B">
        <w:rPr>
          <w:bCs/>
          <w:iCs/>
          <w:sz w:val="25"/>
          <w:szCs w:val="25"/>
        </w:rPr>
        <w:t>z ISA</w:t>
      </w:r>
      <w:r w:rsidRPr="001F5A3B">
        <w:rPr>
          <w:sz w:val="25"/>
          <w:szCs w:val="25"/>
        </w:rPr>
        <w:t xml:space="preserve"> 240</w:t>
      </w:r>
      <w:r w:rsidRPr="001F5A3B">
        <w:rPr>
          <w:bCs/>
          <w:iCs/>
          <w:sz w:val="25"/>
          <w:szCs w:val="25"/>
        </w:rPr>
        <w:t>.</w:t>
      </w:r>
      <w:r w:rsidRPr="001F5A3B">
        <w:rPr>
          <w:sz w:val="25"/>
          <w:szCs w:val="25"/>
        </w:rPr>
        <w:t xml:space="preserve"> és 250</w:t>
      </w:r>
      <w:r w:rsidRPr="001F5A3B">
        <w:rPr>
          <w:bCs/>
          <w:iCs/>
          <w:sz w:val="25"/>
          <w:szCs w:val="25"/>
        </w:rPr>
        <w:t>.</w:t>
      </w:r>
      <w:r w:rsidRPr="001F5A3B">
        <w:rPr>
          <w:sz w:val="25"/>
          <w:szCs w:val="25"/>
        </w:rPr>
        <w:t xml:space="preserve"> témaszámú könyvvizsgálati </w:t>
      </w:r>
      <w:r w:rsidRPr="001F5A3B">
        <w:rPr>
          <w:bCs/>
          <w:iCs/>
          <w:sz w:val="25"/>
          <w:szCs w:val="25"/>
        </w:rPr>
        <w:t>s</w:t>
      </w:r>
      <w:r w:rsidRPr="001F5A3B">
        <w:rPr>
          <w:sz w:val="25"/>
          <w:szCs w:val="25"/>
        </w:rPr>
        <w:t xml:space="preserve">tandardban leírtak betartására és betartatására. </w:t>
      </w:r>
    </w:p>
    <w:p w:rsidR="00A40523" w:rsidRPr="001F5A3B" w:rsidRDefault="00A40523" w:rsidP="00A40523">
      <w:pPr>
        <w:pStyle w:val="Szvegtrzsbehzssal31"/>
        <w:ind w:left="0" w:firstLine="0"/>
        <w:rPr>
          <w:bCs/>
          <w:iCs/>
          <w:strike/>
          <w:sz w:val="25"/>
          <w:szCs w:val="25"/>
        </w:rPr>
      </w:pPr>
    </w:p>
    <w:p w:rsidR="00A40523" w:rsidRPr="001F5A3B" w:rsidRDefault="00A40523" w:rsidP="00A40523">
      <w:pPr>
        <w:spacing w:after="0" w:line="240" w:lineRule="auto"/>
        <w:jc w:val="both"/>
        <w:rPr>
          <w:rFonts w:ascii="Times New Roman" w:hAnsi="Times New Roman" w:cs="Times New Roman"/>
          <w:sz w:val="25"/>
          <w:szCs w:val="25"/>
        </w:rPr>
      </w:pPr>
      <w:r w:rsidRPr="001F5A3B">
        <w:rPr>
          <w:rFonts w:ascii="Times New Roman" w:hAnsi="Times New Roman" w:cs="Times New Roman"/>
          <w:sz w:val="25"/>
          <w:szCs w:val="25"/>
        </w:rPr>
        <w:t>A szolgáltatóknak az általános, illetve szokásos üzleti tevékenysége során tudomására jutott információk, adatok alapján kell a pénzmosásra vagy a terrorizmus finanszírozására utaló adat, tény, körülmény tekintetében a Pmt.-ben előírt bejelentési kötelezettséget teljesíteni.</w:t>
      </w:r>
    </w:p>
    <w:p w:rsidR="00A40523" w:rsidRPr="001F5A3B" w:rsidRDefault="00A40523" w:rsidP="00A40523">
      <w:pPr>
        <w:spacing w:after="0" w:line="240" w:lineRule="auto"/>
        <w:ind w:left="567"/>
        <w:jc w:val="both"/>
        <w:rPr>
          <w:rFonts w:ascii="Times New Roman" w:hAnsi="Times New Roman" w:cs="Times New Roman"/>
          <w:sz w:val="25"/>
          <w:szCs w:val="25"/>
        </w:rPr>
      </w:pPr>
    </w:p>
    <w:p w:rsidR="00A40523" w:rsidRPr="001F5A3B" w:rsidRDefault="00A40523" w:rsidP="00A40523">
      <w:pPr>
        <w:spacing w:after="0" w:line="240" w:lineRule="auto"/>
        <w:jc w:val="both"/>
        <w:rPr>
          <w:rFonts w:ascii="Times New Roman" w:hAnsi="Times New Roman" w:cs="Times New Roman"/>
          <w:sz w:val="25"/>
          <w:szCs w:val="25"/>
        </w:rPr>
      </w:pPr>
      <w:r w:rsidRPr="001F5A3B">
        <w:rPr>
          <w:rFonts w:ascii="Times New Roman" w:hAnsi="Times New Roman" w:cs="Times New Roman"/>
          <w:sz w:val="25"/>
          <w:szCs w:val="25"/>
        </w:rPr>
        <w:t>A szolgáltatók a tranzakciók lebonyolításában közvetlenül nem vesznek részt, így azokat megakadályozni nem tudják, azok hatásaival jellemzően csak utólag (jellemzően több hónapos késéssel) találkozhatnak.</w:t>
      </w:r>
    </w:p>
    <w:p w:rsidR="00A40523" w:rsidRPr="001F5A3B" w:rsidRDefault="00A40523" w:rsidP="00A40523">
      <w:pPr>
        <w:spacing w:after="0" w:line="240" w:lineRule="auto"/>
        <w:jc w:val="both"/>
        <w:rPr>
          <w:rFonts w:ascii="Times New Roman" w:hAnsi="Times New Roman" w:cs="Times New Roman"/>
          <w:sz w:val="25"/>
          <w:szCs w:val="25"/>
        </w:rPr>
      </w:pPr>
    </w:p>
    <w:p w:rsidR="00A40523" w:rsidRPr="001F5A3B" w:rsidRDefault="00A40523" w:rsidP="00A40523">
      <w:pPr>
        <w:spacing w:after="0" w:line="240" w:lineRule="auto"/>
        <w:jc w:val="both"/>
        <w:rPr>
          <w:rFonts w:ascii="Times New Roman" w:hAnsi="Times New Roman" w:cs="Times New Roman"/>
          <w:sz w:val="25"/>
          <w:szCs w:val="25"/>
        </w:rPr>
      </w:pPr>
      <w:r w:rsidRPr="001F5A3B">
        <w:rPr>
          <w:rFonts w:ascii="Times New Roman" w:hAnsi="Times New Roman" w:cs="Times New Roman"/>
          <w:sz w:val="25"/>
          <w:szCs w:val="25"/>
        </w:rPr>
        <w:t>A szolgáltatók – a rájuk vonatkozó szakmai előírásoknak megfelelően – végzett munkájuk során a tudomásukra jutott információk, adatok összefüggése alapján, az egyéb pénzmosásra, vagy a terrorizmus finanszírozására utaló adatokkal kapcsolatban álló tények és körülmények mérlegelésével kötelesek eldönteni, hogy az adott ügylet utal-e a pénzmosásra, vagy a terrorizmus finanszírozására.</w:t>
      </w:r>
    </w:p>
    <w:p w:rsidR="00A40523" w:rsidRPr="001F5A3B" w:rsidRDefault="00A40523" w:rsidP="009D7C6D">
      <w:pPr>
        <w:autoSpaceDE w:val="0"/>
        <w:autoSpaceDN w:val="0"/>
        <w:adjustRightInd w:val="0"/>
        <w:spacing w:after="0" w:line="240" w:lineRule="auto"/>
        <w:jc w:val="both"/>
        <w:rPr>
          <w:rFonts w:ascii="Times New Roman" w:hAnsi="Times New Roman"/>
          <w:color w:val="000000"/>
          <w:sz w:val="25"/>
          <w:szCs w:val="25"/>
        </w:rPr>
      </w:pPr>
    </w:p>
    <w:p w:rsidR="00A40523" w:rsidRPr="001F5A3B" w:rsidRDefault="00A40523" w:rsidP="00A40523">
      <w:pPr>
        <w:autoSpaceDE w:val="0"/>
        <w:autoSpaceDN w:val="0"/>
        <w:adjustRightInd w:val="0"/>
        <w:spacing w:after="0" w:line="240" w:lineRule="auto"/>
        <w:jc w:val="both"/>
        <w:rPr>
          <w:rFonts w:ascii="Times New Roman" w:hAnsi="Times New Roman"/>
          <w:color w:val="000000"/>
          <w:sz w:val="25"/>
          <w:szCs w:val="25"/>
        </w:rPr>
      </w:pPr>
      <w:r w:rsidRPr="001F5A3B">
        <w:rPr>
          <w:rFonts w:ascii="Times New Roman" w:hAnsi="Times New Roman"/>
          <w:color w:val="000000"/>
          <w:sz w:val="25"/>
          <w:szCs w:val="25"/>
        </w:rPr>
        <w:t xml:space="preserve">Az alábbiak tételes példák arra, hogy mely körülmények vethetik fel a pénzmosás megtörténtének lehetőségét a szolgáltatóknál. Az említett eseteket azonban (mint ahogy más, e tárgyban megjelent listákat) nem szabad automatizmusként alkalmazni. A pénzmosási esetek rendkívül változatosak ezért nem nélkülözhető a szolgáltató részéről az eset összes körülményének mérlegelése, a kockázatérzékenységi megközelítés alkalmazása. </w:t>
      </w:r>
    </w:p>
    <w:p w:rsidR="00A40523" w:rsidRPr="001F5A3B" w:rsidRDefault="00A40523" w:rsidP="00A40523">
      <w:pPr>
        <w:autoSpaceDE w:val="0"/>
        <w:autoSpaceDN w:val="0"/>
        <w:adjustRightInd w:val="0"/>
        <w:spacing w:after="0" w:line="240" w:lineRule="auto"/>
        <w:ind w:left="360"/>
        <w:jc w:val="both"/>
        <w:rPr>
          <w:rFonts w:ascii="Times New Roman" w:hAnsi="Times New Roman"/>
          <w:color w:val="000000"/>
          <w:sz w:val="25"/>
          <w:szCs w:val="25"/>
        </w:rPr>
      </w:pPr>
    </w:p>
    <w:p w:rsidR="00A40523" w:rsidRPr="001F5A3B" w:rsidRDefault="00A40523" w:rsidP="00A40523">
      <w:pPr>
        <w:autoSpaceDE w:val="0"/>
        <w:autoSpaceDN w:val="0"/>
        <w:adjustRightInd w:val="0"/>
        <w:spacing w:after="0" w:line="240" w:lineRule="auto"/>
        <w:jc w:val="both"/>
        <w:rPr>
          <w:rFonts w:ascii="Times New Roman" w:hAnsi="Times New Roman"/>
          <w:color w:val="000000"/>
          <w:sz w:val="25"/>
          <w:szCs w:val="25"/>
          <w:u w:val="single"/>
        </w:rPr>
      </w:pPr>
      <w:r w:rsidRPr="001F5A3B">
        <w:rPr>
          <w:rFonts w:ascii="Times New Roman" w:hAnsi="Times New Roman"/>
          <w:color w:val="000000"/>
          <w:sz w:val="25"/>
          <w:szCs w:val="25"/>
          <w:u w:val="single"/>
        </w:rPr>
        <w:t>Pénzmosás megtörténtének lehetőségére utaló gazdasági események:</w:t>
      </w:r>
    </w:p>
    <w:p w:rsidR="00A40523" w:rsidRPr="001F5A3B" w:rsidRDefault="00A40523" w:rsidP="00A40523">
      <w:pPr>
        <w:autoSpaceDE w:val="0"/>
        <w:autoSpaceDN w:val="0"/>
        <w:adjustRightInd w:val="0"/>
        <w:spacing w:after="0" w:line="240" w:lineRule="auto"/>
        <w:ind w:left="360"/>
        <w:jc w:val="both"/>
        <w:rPr>
          <w:rFonts w:ascii="Times New Roman" w:hAnsi="Times New Roman"/>
          <w:color w:val="000000"/>
          <w:sz w:val="25"/>
          <w:szCs w:val="25"/>
        </w:rPr>
      </w:pPr>
    </w:p>
    <w:p w:rsidR="00A40523" w:rsidRPr="001F5A3B" w:rsidRDefault="00A40523" w:rsidP="00A40523">
      <w:pPr>
        <w:autoSpaceDE w:val="0"/>
        <w:autoSpaceDN w:val="0"/>
        <w:adjustRightInd w:val="0"/>
        <w:spacing w:after="0" w:line="240" w:lineRule="auto"/>
        <w:ind w:left="360"/>
        <w:jc w:val="both"/>
        <w:rPr>
          <w:rFonts w:ascii="Times New Roman" w:hAnsi="Times New Roman"/>
          <w:color w:val="000000"/>
          <w:sz w:val="25"/>
          <w:szCs w:val="25"/>
        </w:rPr>
      </w:pPr>
      <w:r w:rsidRPr="001F5A3B">
        <w:rPr>
          <w:rFonts w:ascii="Times New Roman" w:hAnsi="Times New Roman"/>
          <w:color w:val="000000"/>
          <w:sz w:val="25"/>
          <w:szCs w:val="25"/>
        </w:rPr>
        <w:t>1.</w:t>
      </w:r>
      <w:r w:rsidRPr="001F5A3B">
        <w:rPr>
          <w:rFonts w:ascii="Times New Roman" w:hAnsi="Times New Roman"/>
          <w:color w:val="000000"/>
          <w:sz w:val="25"/>
          <w:szCs w:val="25"/>
        </w:rPr>
        <w:tab/>
        <w:t xml:space="preserve">Fiktív bevételi tételek </w:t>
      </w:r>
    </w:p>
    <w:p w:rsidR="00A40523" w:rsidRPr="001F5A3B" w:rsidRDefault="00A40523" w:rsidP="00A40523">
      <w:pPr>
        <w:autoSpaceDE w:val="0"/>
        <w:autoSpaceDN w:val="0"/>
        <w:adjustRightInd w:val="0"/>
        <w:spacing w:after="0" w:line="240" w:lineRule="auto"/>
        <w:ind w:left="360"/>
        <w:jc w:val="both"/>
        <w:rPr>
          <w:rFonts w:ascii="Times New Roman" w:hAnsi="Times New Roman"/>
          <w:color w:val="000000"/>
          <w:sz w:val="25"/>
          <w:szCs w:val="25"/>
        </w:rPr>
      </w:pPr>
      <w:r w:rsidRPr="001F5A3B">
        <w:rPr>
          <w:rFonts w:ascii="Times New Roman" w:hAnsi="Times New Roman"/>
          <w:color w:val="000000"/>
          <w:sz w:val="25"/>
          <w:szCs w:val="25"/>
        </w:rPr>
        <w:t>2.</w:t>
      </w:r>
      <w:r w:rsidRPr="001F5A3B">
        <w:rPr>
          <w:rFonts w:ascii="Times New Roman" w:hAnsi="Times New Roman"/>
          <w:color w:val="000000"/>
          <w:sz w:val="25"/>
          <w:szCs w:val="25"/>
        </w:rPr>
        <w:tab/>
        <w:t>Túlszámlázások</w:t>
      </w:r>
    </w:p>
    <w:p w:rsidR="00A40523" w:rsidRPr="001F5A3B" w:rsidRDefault="00A40523" w:rsidP="00A40523">
      <w:pPr>
        <w:autoSpaceDE w:val="0"/>
        <w:autoSpaceDN w:val="0"/>
        <w:adjustRightInd w:val="0"/>
        <w:spacing w:after="0" w:line="240" w:lineRule="auto"/>
        <w:ind w:left="360"/>
        <w:jc w:val="both"/>
        <w:rPr>
          <w:rFonts w:ascii="Times New Roman" w:hAnsi="Times New Roman"/>
          <w:color w:val="000000"/>
          <w:sz w:val="25"/>
          <w:szCs w:val="25"/>
        </w:rPr>
      </w:pPr>
      <w:r w:rsidRPr="001F5A3B">
        <w:rPr>
          <w:rFonts w:ascii="Times New Roman" w:hAnsi="Times New Roman"/>
          <w:color w:val="000000"/>
          <w:sz w:val="25"/>
          <w:szCs w:val="25"/>
        </w:rPr>
        <w:t>3.</w:t>
      </w:r>
      <w:r w:rsidRPr="001F5A3B">
        <w:rPr>
          <w:rFonts w:ascii="Times New Roman" w:hAnsi="Times New Roman"/>
          <w:color w:val="000000"/>
          <w:sz w:val="25"/>
          <w:szCs w:val="25"/>
        </w:rPr>
        <w:tab/>
        <w:t>Ésszerűtlen végleges pénzeszköz átvétel</w:t>
      </w:r>
    </w:p>
    <w:p w:rsidR="00A40523" w:rsidRPr="001F5A3B" w:rsidRDefault="00A40523" w:rsidP="00A40523">
      <w:pPr>
        <w:autoSpaceDE w:val="0"/>
        <w:autoSpaceDN w:val="0"/>
        <w:adjustRightInd w:val="0"/>
        <w:spacing w:after="0" w:line="240" w:lineRule="auto"/>
        <w:ind w:left="360"/>
        <w:jc w:val="both"/>
        <w:rPr>
          <w:rFonts w:ascii="Times New Roman" w:hAnsi="Times New Roman"/>
          <w:color w:val="000000"/>
          <w:sz w:val="25"/>
          <w:szCs w:val="25"/>
        </w:rPr>
      </w:pPr>
      <w:r w:rsidRPr="001F5A3B">
        <w:rPr>
          <w:rFonts w:ascii="Times New Roman" w:hAnsi="Times New Roman"/>
          <w:color w:val="000000"/>
          <w:sz w:val="25"/>
          <w:szCs w:val="25"/>
        </w:rPr>
        <w:t>4.</w:t>
      </w:r>
      <w:r w:rsidRPr="001F5A3B">
        <w:rPr>
          <w:rFonts w:ascii="Times New Roman" w:hAnsi="Times New Roman"/>
          <w:color w:val="000000"/>
          <w:sz w:val="25"/>
          <w:szCs w:val="25"/>
        </w:rPr>
        <w:tab/>
        <w:t>Ésszerűtlen tagi kölcsönök felvétele</w:t>
      </w:r>
    </w:p>
    <w:p w:rsidR="00A40523" w:rsidRPr="001F5A3B" w:rsidRDefault="00A40523" w:rsidP="00A40523">
      <w:pPr>
        <w:autoSpaceDE w:val="0"/>
        <w:autoSpaceDN w:val="0"/>
        <w:adjustRightInd w:val="0"/>
        <w:spacing w:after="0" w:line="240" w:lineRule="auto"/>
        <w:ind w:left="360"/>
        <w:jc w:val="both"/>
        <w:rPr>
          <w:rFonts w:ascii="Times New Roman" w:hAnsi="Times New Roman"/>
          <w:color w:val="000000"/>
          <w:sz w:val="25"/>
          <w:szCs w:val="25"/>
        </w:rPr>
      </w:pPr>
      <w:r w:rsidRPr="001F5A3B">
        <w:rPr>
          <w:rFonts w:ascii="Times New Roman" w:hAnsi="Times New Roman"/>
          <w:color w:val="000000"/>
          <w:sz w:val="25"/>
          <w:szCs w:val="25"/>
        </w:rPr>
        <w:t>5.</w:t>
      </w:r>
      <w:r w:rsidRPr="001F5A3B">
        <w:rPr>
          <w:rFonts w:ascii="Times New Roman" w:hAnsi="Times New Roman"/>
          <w:color w:val="000000"/>
          <w:sz w:val="25"/>
          <w:szCs w:val="25"/>
        </w:rPr>
        <w:tab/>
        <w:t xml:space="preserve">Kötelezettségről a jogosult az ügyfél javára egyoldalúan lemond </w:t>
      </w:r>
    </w:p>
    <w:p w:rsidR="00A40523" w:rsidRPr="001F5A3B" w:rsidRDefault="00A40523" w:rsidP="00A40523">
      <w:pPr>
        <w:autoSpaceDE w:val="0"/>
        <w:autoSpaceDN w:val="0"/>
        <w:adjustRightInd w:val="0"/>
        <w:spacing w:after="0" w:line="240" w:lineRule="auto"/>
        <w:ind w:left="360"/>
        <w:jc w:val="both"/>
        <w:rPr>
          <w:rFonts w:ascii="Times New Roman" w:hAnsi="Times New Roman"/>
          <w:color w:val="000000"/>
          <w:sz w:val="25"/>
          <w:szCs w:val="25"/>
        </w:rPr>
      </w:pPr>
      <w:r w:rsidRPr="001F5A3B">
        <w:rPr>
          <w:rFonts w:ascii="Times New Roman" w:hAnsi="Times New Roman"/>
          <w:color w:val="000000"/>
          <w:sz w:val="25"/>
          <w:szCs w:val="25"/>
        </w:rPr>
        <w:t>6.</w:t>
      </w:r>
      <w:r w:rsidRPr="001F5A3B">
        <w:rPr>
          <w:rFonts w:ascii="Times New Roman" w:hAnsi="Times New Roman"/>
          <w:color w:val="000000"/>
          <w:sz w:val="25"/>
          <w:szCs w:val="25"/>
        </w:rPr>
        <w:tab/>
        <w:t>Pénz átfolyatás</w:t>
      </w:r>
    </w:p>
    <w:p w:rsidR="00A40523" w:rsidRPr="001F5A3B" w:rsidRDefault="00A40523" w:rsidP="00A40523">
      <w:pPr>
        <w:autoSpaceDE w:val="0"/>
        <w:autoSpaceDN w:val="0"/>
        <w:adjustRightInd w:val="0"/>
        <w:spacing w:after="0" w:line="240" w:lineRule="auto"/>
        <w:ind w:left="360"/>
        <w:jc w:val="both"/>
        <w:rPr>
          <w:rFonts w:ascii="Times New Roman" w:hAnsi="Times New Roman"/>
          <w:color w:val="000000"/>
          <w:sz w:val="25"/>
          <w:szCs w:val="25"/>
        </w:rPr>
      </w:pPr>
      <w:r w:rsidRPr="001F5A3B">
        <w:rPr>
          <w:rFonts w:ascii="Times New Roman" w:hAnsi="Times New Roman"/>
          <w:color w:val="000000"/>
          <w:sz w:val="25"/>
          <w:szCs w:val="25"/>
        </w:rPr>
        <w:t>7.</w:t>
      </w:r>
      <w:r w:rsidRPr="001F5A3B">
        <w:rPr>
          <w:rFonts w:ascii="Times New Roman" w:hAnsi="Times New Roman"/>
          <w:color w:val="000000"/>
          <w:sz w:val="25"/>
          <w:szCs w:val="25"/>
        </w:rPr>
        <w:tab/>
        <w:t>Ésszerűen nem indokolható tőkeműveletek</w:t>
      </w:r>
    </w:p>
    <w:p w:rsidR="00A40523" w:rsidRPr="001F5A3B" w:rsidRDefault="00A40523" w:rsidP="00A40523">
      <w:pPr>
        <w:autoSpaceDE w:val="0"/>
        <w:autoSpaceDN w:val="0"/>
        <w:adjustRightInd w:val="0"/>
        <w:spacing w:after="0" w:line="240" w:lineRule="auto"/>
        <w:ind w:left="360"/>
        <w:jc w:val="both"/>
        <w:rPr>
          <w:rFonts w:ascii="Times New Roman" w:hAnsi="Times New Roman"/>
          <w:color w:val="000000"/>
          <w:sz w:val="25"/>
          <w:szCs w:val="25"/>
        </w:rPr>
      </w:pPr>
      <w:r w:rsidRPr="001F5A3B">
        <w:rPr>
          <w:rFonts w:ascii="Times New Roman" w:hAnsi="Times New Roman"/>
          <w:color w:val="000000"/>
          <w:sz w:val="25"/>
          <w:szCs w:val="25"/>
        </w:rPr>
        <w:t>8.</w:t>
      </w:r>
      <w:r w:rsidRPr="001F5A3B">
        <w:rPr>
          <w:rFonts w:ascii="Times New Roman" w:hAnsi="Times New Roman"/>
          <w:color w:val="000000"/>
          <w:sz w:val="25"/>
          <w:szCs w:val="25"/>
        </w:rPr>
        <w:tab/>
        <w:t>Szokatlan és indokolatlan nagy összegű készpénzbevételek</w:t>
      </w:r>
    </w:p>
    <w:p w:rsidR="00A40523" w:rsidRPr="001F5A3B" w:rsidRDefault="00A40523" w:rsidP="00A40523">
      <w:pPr>
        <w:autoSpaceDE w:val="0"/>
        <w:autoSpaceDN w:val="0"/>
        <w:adjustRightInd w:val="0"/>
        <w:spacing w:after="0" w:line="240" w:lineRule="auto"/>
        <w:ind w:left="360"/>
        <w:jc w:val="both"/>
        <w:rPr>
          <w:rFonts w:ascii="Times New Roman" w:hAnsi="Times New Roman"/>
          <w:color w:val="000000"/>
          <w:sz w:val="25"/>
          <w:szCs w:val="25"/>
        </w:rPr>
      </w:pPr>
      <w:r w:rsidRPr="001F5A3B">
        <w:rPr>
          <w:rFonts w:ascii="Times New Roman" w:hAnsi="Times New Roman"/>
          <w:color w:val="000000"/>
          <w:sz w:val="25"/>
          <w:szCs w:val="25"/>
        </w:rPr>
        <w:t>9.</w:t>
      </w:r>
      <w:r w:rsidRPr="001F5A3B">
        <w:rPr>
          <w:rFonts w:ascii="Times New Roman" w:hAnsi="Times New Roman"/>
          <w:color w:val="000000"/>
          <w:sz w:val="25"/>
          <w:szCs w:val="25"/>
        </w:rPr>
        <w:tab/>
        <w:t>Leltári többletek</w:t>
      </w:r>
    </w:p>
    <w:p w:rsidR="00A40523" w:rsidRPr="001F5A3B" w:rsidRDefault="00A40523" w:rsidP="00A40523">
      <w:pPr>
        <w:autoSpaceDE w:val="0"/>
        <w:autoSpaceDN w:val="0"/>
        <w:adjustRightInd w:val="0"/>
        <w:spacing w:after="0" w:line="240" w:lineRule="auto"/>
        <w:jc w:val="both"/>
        <w:rPr>
          <w:rFonts w:ascii="Times New Roman" w:hAnsi="Times New Roman"/>
          <w:color w:val="000000"/>
          <w:sz w:val="25"/>
          <w:szCs w:val="25"/>
        </w:rPr>
      </w:pPr>
    </w:p>
    <w:p w:rsidR="00A40523" w:rsidRPr="001F5A3B" w:rsidRDefault="00A40523" w:rsidP="00A40523">
      <w:pPr>
        <w:autoSpaceDE w:val="0"/>
        <w:autoSpaceDN w:val="0"/>
        <w:adjustRightInd w:val="0"/>
        <w:spacing w:after="0" w:line="240" w:lineRule="auto"/>
        <w:jc w:val="both"/>
        <w:rPr>
          <w:rFonts w:ascii="Times New Roman" w:hAnsi="Times New Roman"/>
          <w:color w:val="000000"/>
          <w:sz w:val="25"/>
          <w:szCs w:val="25"/>
          <w:u w:val="single"/>
        </w:rPr>
      </w:pPr>
      <w:r w:rsidRPr="001F5A3B">
        <w:rPr>
          <w:rFonts w:ascii="Times New Roman" w:hAnsi="Times New Roman"/>
          <w:color w:val="000000"/>
          <w:sz w:val="25"/>
          <w:szCs w:val="25"/>
          <w:u w:val="single"/>
        </w:rPr>
        <w:t>Egyéb (járulékos) körülmények, melyek a pénzmosás megtörténtének lehetőségét erősíthetik:</w:t>
      </w:r>
    </w:p>
    <w:p w:rsidR="00A40523" w:rsidRPr="001F5A3B" w:rsidRDefault="00A40523" w:rsidP="00A40523">
      <w:pPr>
        <w:autoSpaceDE w:val="0"/>
        <w:autoSpaceDN w:val="0"/>
        <w:adjustRightInd w:val="0"/>
        <w:spacing w:after="0" w:line="240" w:lineRule="auto"/>
        <w:ind w:left="360"/>
        <w:jc w:val="both"/>
        <w:rPr>
          <w:rFonts w:ascii="Times New Roman" w:hAnsi="Times New Roman"/>
          <w:color w:val="000000"/>
          <w:sz w:val="25"/>
          <w:szCs w:val="25"/>
        </w:rPr>
      </w:pPr>
    </w:p>
    <w:p w:rsidR="00A40523" w:rsidRPr="001F5A3B" w:rsidRDefault="00A40523" w:rsidP="00A40523">
      <w:pPr>
        <w:autoSpaceDE w:val="0"/>
        <w:autoSpaceDN w:val="0"/>
        <w:adjustRightInd w:val="0"/>
        <w:spacing w:after="0" w:line="240" w:lineRule="auto"/>
        <w:ind w:left="360"/>
        <w:jc w:val="both"/>
        <w:rPr>
          <w:rFonts w:ascii="Times New Roman" w:hAnsi="Times New Roman"/>
          <w:color w:val="000000"/>
          <w:sz w:val="25"/>
          <w:szCs w:val="25"/>
        </w:rPr>
      </w:pPr>
      <w:r w:rsidRPr="001F5A3B">
        <w:rPr>
          <w:rFonts w:ascii="Times New Roman" w:hAnsi="Times New Roman"/>
          <w:color w:val="000000"/>
          <w:sz w:val="25"/>
          <w:szCs w:val="25"/>
        </w:rPr>
        <w:t>10.</w:t>
      </w:r>
      <w:r w:rsidRPr="001F5A3B">
        <w:rPr>
          <w:rFonts w:ascii="Times New Roman" w:hAnsi="Times New Roman"/>
          <w:color w:val="000000"/>
          <w:sz w:val="25"/>
          <w:szCs w:val="25"/>
        </w:rPr>
        <w:tab/>
        <w:t>Cégvezetés körülményei</w:t>
      </w:r>
    </w:p>
    <w:p w:rsidR="00A40523" w:rsidRPr="001F5A3B" w:rsidRDefault="00A40523" w:rsidP="00A40523">
      <w:pPr>
        <w:autoSpaceDE w:val="0"/>
        <w:autoSpaceDN w:val="0"/>
        <w:adjustRightInd w:val="0"/>
        <w:spacing w:after="0" w:line="240" w:lineRule="auto"/>
        <w:ind w:left="360"/>
        <w:jc w:val="both"/>
        <w:rPr>
          <w:rFonts w:ascii="Times New Roman" w:hAnsi="Times New Roman"/>
          <w:color w:val="000000"/>
          <w:sz w:val="25"/>
          <w:szCs w:val="25"/>
        </w:rPr>
      </w:pPr>
      <w:r w:rsidRPr="001F5A3B">
        <w:rPr>
          <w:rFonts w:ascii="Times New Roman" w:hAnsi="Times New Roman"/>
          <w:color w:val="000000"/>
          <w:sz w:val="25"/>
          <w:szCs w:val="25"/>
        </w:rPr>
        <w:t>11.</w:t>
      </w:r>
      <w:r w:rsidRPr="001F5A3B">
        <w:rPr>
          <w:rFonts w:ascii="Times New Roman" w:hAnsi="Times New Roman"/>
          <w:color w:val="000000"/>
          <w:sz w:val="25"/>
          <w:szCs w:val="25"/>
        </w:rPr>
        <w:tab/>
        <w:t>Székhely nélküli tevékenység</w:t>
      </w:r>
    </w:p>
    <w:p w:rsidR="00A40523" w:rsidRPr="001F5A3B" w:rsidRDefault="00A40523" w:rsidP="00A40523">
      <w:pPr>
        <w:autoSpaceDE w:val="0"/>
        <w:autoSpaceDN w:val="0"/>
        <w:adjustRightInd w:val="0"/>
        <w:spacing w:after="0" w:line="240" w:lineRule="auto"/>
        <w:ind w:left="360"/>
        <w:jc w:val="both"/>
        <w:rPr>
          <w:rFonts w:ascii="Times New Roman" w:hAnsi="Times New Roman"/>
          <w:color w:val="000000"/>
          <w:sz w:val="25"/>
          <w:szCs w:val="25"/>
        </w:rPr>
      </w:pPr>
      <w:r w:rsidRPr="001F5A3B">
        <w:rPr>
          <w:rFonts w:ascii="Times New Roman" w:hAnsi="Times New Roman"/>
          <w:color w:val="000000"/>
          <w:sz w:val="25"/>
          <w:szCs w:val="25"/>
        </w:rPr>
        <w:t>12.</w:t>
      </w:r>
      <w:r w:rsidRPr="001F5A3B">
        <w:rPr>
          <w:rFonts w:ascii="Times New Roman" w:hAnsi="Times New Roman"/>
          <w:color w:val="000000"/>
          <w:sz w:val="25"/>
          <w:szCs w:val="25"/>
        </w:rPr>
        <w:tab/>
        <w:t>Tulajdonosváltás</w:t>
      </w:r>
    </w:p>
    <w:p w:rsidR="00A40523" w:rsidRPr="001F5A3B" w:rsidRDefault="00A40523" w:rsidP="00A40523">
      <w:pPr>
        <w:autoSpaceDE w:val="0"/>
        <w:autoSpaceDN w:val="0"/>
        <w:adjustRightInd w:val="0"/>
        <w:spacing w:after="0" w:line="240" w:lineRule="auto"/>
        <w:ind w:left="360"/>
        <w:jc w:val="both"/>
        <w:rPr>
          <w:rFonts w:ascii="Times New Roman" w:hAnsi="Times New Roman"/>
          <w:color w:val="000000"/>
          <w:sz w:val="25"/>
          <w:szCs w:val="25"/>
        </w:rPr>
      </w:pPr>
      <w:r w:rsidRPr="001F5A3B">
        <w:rPr>
          <w:rFonts w:ascii="Times New Roman" w:hAnsi="Times New Roman"/>
          <w:color w:val="000000"/>
          <w:sz w:val="25"/>
          <w:szCs w:val="25"/>
        </w:rPr>
        <w:t>13.</w:t>
      </w:r>
      <w:r w:rsidRPr="001F5A3B">
        <w:rPr>
          <w:rFonts w:ascii="Times New Roman" w:hAnsi="Times New Roman"/>
          <w:color w:val="000000"/>
          <w:sz w:val="25"/>
          <w:szCs w:val="25"/>
        </w:rPr>
        <w:tab/>
        <w:t>Szokatlan tőkeműveletek</w:t>
      </w:r>
    </w:p>
    <w:p w:rsidR="00A40523" w:rsidRPr="001F5A3B" w:rsidRDefault="00A40523" w:rsidP="009D7C6D">
      <w:pPr>
        <w:autoSpaceDE w:val="0"/>
        <w:autoSpaceDN w:val="0"/>
        <w:adjustRightInd w:val="0"/>
        <w:spacing w:after="0" w:line="240" w:lineRule="auto"/>
        <w:jc w:val="both"/>
        <w:rPr>
          <w:rFonts w:ascii="Times New Roman" w:hAnsi="Times New Roman"/>
          <w:color w:val="000000"/>
          <w:sz w:val="25"/>
          <w:szCs w:val="25"/>
        </w:rPr>
      </w:pPr>
      <w:r w:rsidRPr="001F5A3B">
        <w:rPr>
          <w:rFonts w:ascii="Times New Roman" w:hAnsi="Times New Roman"/>
          <w:color w:val="000000"/>
          <w:sz w:val="25"/>
          <w:szCs w:val="25"/>
        </w:rPr>
        <w:lastRenderedPageBreak/>
        <w:t>A pénzmosásra utaló adat, tény, körülmény felmerülésének tekintendő, ha arra utaló adat, tény, körülmény merül fel, hogy a számviteli bizonylaton szereplő pénzeszköz büntetendő cselekmény elkövetéséből származik.</w:t>
      </w:r>
    </w:p>
    <w:p w:rsidR="00A40523" w:rsidRPr="001F5A3B" w:rsidRDefault="00A40523" w:rsidP="00A40523">
      <w:pPr>
        <w:autoSpaceDE w:val="0"/>
        <w:autoSpaceDN w:val="0"/>
        <w:adjustRightInd w:val="0"/>
        <w:spacing w:after="0" w:line="240" w:lineRule="auto"/>
        <w:ind w:left="360"/>
        <w:jc w:val="both"/>
        <w:rPr>
          <w:rFonts w:ascii="Times New Roman" w:hAnsi="Times New Roman"/>
          <w:color w:val="000000"/>
          <w:sz w:val="25"/>
          <w:szCs w:val="25"/>
        </w:rPr>
      </w:pPr>
    </w:p>
    <w:p w:rsidR="00A40523" w:rsidRPr="001F5A3B" w:rsidRDefault="00A40523" w:rsidP="00A40523">
      <w:pPr>
        <w:autoSpaceDE w:val="0"/>
        <w:autoSpaceDN w:val="0"/>
        <w:adjustRightInd w:val="0"/>
        <w:spacing w:after="0" w:line="240" w:lineRule="auto"/>
        <w:jc w:val="both"/>
        <w:rPr>
          <w:rFonts w:ascii="Times New Roman" w:hAnsi="Times New Roman"/>
          <w:color w:val="000000"/>
          <w:sz w:val="25"/>
          <w:szCs w:val="25"/>
        </w:rPr>
      </w:pPr>
      <w:r w:rsidRPr="001F5A3B">
        <w:rPr>
          <w:rFonts w:ascii="Times New Roman" w:hAnsi="Times New Roman"/>
          <w:color w:val="000000"/>
          <w:sz w:val="25"/>
          <w:szCs w:val="25"/>
        </w:rPr>
        <w:t>Pénzmosás megtörténtének lehetőségét felvethető gazdasági események rövid bemutatása:</w:t>
      </w:r>
    </w:p>
    <w:p w:rsidR="00A40523" w:rsidRPr="001F5A3B" w:rsidRDefault="00A40523" w:rsidP="00A40523">
      <w:pPr>
        <w:autoSpaceDE w:val="0"/>
        <w:autoSpaceDN w:val="0"/>
        <w:adjustRightInd w:val="0"/>
        <w:spacing w:after="0" w:line="240" w:lineRule="auto"/>
        <w:ind w:left="360"/>
        <w:jc w:val="both"/>
        <w:rPr>
          <w:rFonts w:ascii="Times New Roman" w:hAnsi="Times New Roman"/>
          <w:color w:val="000000"/>
          <w:sz w:val="25"/>
          <w:szCs w:val="25"/>
        </w:rPr>
      </w:pPr>
    </w:p>
    <w:p w:rsidR="00A40523" w:rsidRPr="001F5A3B" w:rsidRDefault="00A40523" w:rsidP="00A40523">
      <w:pPr>
        <w:autoSpaceDE w:val="0"/>
        <w:autoSpaceDN w:val="0"/>
        <w:adjustRightInd w:val="0"/>
        <w:spacing w:after="0" w:line="240" w:lineRule="auto"/>
        <w:jc w:val="both"/>
        <w:rPr>
          <w:rFonts w:ascii="Times New Roman" w:hAnsi="Times New Roman"/>
          <w:color w:val="000000"/>
          <w:sz w:val="25"/>
          <w:szCs w:val="25"/>
        </w:rPr>
      </w:pPr>
      <w:r w:rsidRPr="001F5A3B">
        <w:rPr>
          <w:rFonts w:ascii="Times New Roman" w:hAnsi="Times New Roman"/>
          <w:i/>
          <w:color w:val="000000"/>
          <w:sz w:val="25"/>
          <w:szCs w:val="25"/>
        </w:rPr>
        <w:t>Fiktív bevételi tételek:</w:t>
      </w:r>
      <w:r w:rsidRPr="001F5A3B">
        <w:rPr>
          <w:rFonts w:ascii="Times New Roman" w:hAnsi="Times New Roman"/>
          <w:color w:val="000000"/>
          <w:sz w:val="25"/>
          <w:szCs w:val="25"/>
        </w:rPr>
        <w:t xml:space="preserve"> Pénzmosásra utalhat, ha fiktív bevételi tétel került elszámolásra. Fiktív a bevétel, ha e mögött nem áll teljesítmény. Erre lehet következtetni például abból, ha az ügyfélnél nincs nyoma olyan gazdaságilag ésszerű ráfordításnak, mely a bevételi tételt életszerűvé tenné. Ilyennek lehet értékelni azt az esetet is, ha az ügyfél bizonyos ráfordítási tételek elszámolásának mellőzésére utasítja könyvelőjét. Pl.: szolgáltatás nyújtása az alapvető eszközök, munkaerő megléte nélkül; áru eladás korábbi beszerzés nélkül, vagy irreálisan magas áron, esetleg költségek nélkül (szállítás, raktározás stb.).</w:t>
      </w:r>
    </w:p>
    <w:p w:rsidR="00A40523" w:rsidRPr="001F5A3B" w:rsidRDefault="00A40523" w:rsidP="00A40523">
      <w:pPr>
        <w:autoSpaceDE w:val="0"/>
        <w:autoSpaceDN w:val="0"/>
        <w:adjustRightInd w:val="0"/>
        <w:spacing w:after="0" w:line="240" w:lineRule="auto"/>
        <w:ind w:left="360"/>
        <w:jc w:val="both"/>
        <w:rPr>
          <w:rFonts w:ascii="Times New Roman" w:hAnsi="Times New Roman"/>
          <w:color w:val="000000"/>
          <w:sz w:val="25"/>
          <w:szCs w:val="25"/>
        </w:rPr>
      </w:pPr>
    </w:p>
    <w:p w:rsidR="00A40523" w:rsidRPr="001F5A3B" w:rsidRDefault="00A40523" w:rsidP="00A40523">
      <w:pPr>
        <w:autoSpaceDE w:val="0"/>
        <w:autoSpaceDN w:val="0"/>
        <w:adjustRightInd w:val="0"/>
        <w:spacing w:after="0" w:line="240" w:lineRule="auto"/>
        <w:jc w:val="both"/>
        <w:rPr>
          <w:rFonts w:ascii="Times New Roman" w:hAnsi="Times New Roman"/>
          <w:color w:val="000000"/>
          <w:sz w:val="25"/>
          <w:szCs w:val="25"/>
        </w:rPr>
      </w:pPr>
      <w:r w:rsidRPr="001F5A3B">
        <w:rPr>
          <w:rFonts w:ascii="Times New Roman" w:hAnsi="Times New Roman"/>
          <w:i/>
          <w:color w:val="000000"/>
          <w:sz w:val="25"/>
          <w:szCs w:val="25"/>
        </w:rPr>
        <w:t>Túlszámlázások:</w:t>
      </w:r>
      <w:r w:rsidRPr="001F5A3B">
        <w:rPr>
          <w:rFonts w:ascii="Times New Roman" w:hAnsi="Times New Roman"/>
          <w:color w:val="000000"/>
          <w:sz w:val="25"/>
          <w:szCs w:val="25"/>
        </w:rPr>
        <w:t xml:space="preserve"> Ekkor az ügyfél feltűnően értékaránytalan (gyakran több tízszeres) haszonnal közvetít bizonyos termékeket, szolgáltatásokat. El kell határolni azonban ezt az extraprofit azon esetétől, amikor valami nagyon ritka termék vagy szolgáltatás valamely különleges tulajdonságánál fogva éri a beszerzési érték sokszorosát a vevőnek, vagy amelyhez járulékos kiadások kapcsolódnak az ügyfélnél (pl. felkutatás, restaurálás). Általában nem túlszámlázás a különleges szaktudást magában foglaló szolgáltatás sem. Ilyen esetben a kapcsolódó költségek vizsgálata általában nem ad információt a pénzmosásra. Azonban, ha megállapítható, hogy az ügyfél az értékesített szolgáltatáshoz nem rendelkezik kellő felkészültséggel, vagy nem áll vele szemben igénybe vett (közvetített) alvállalkozó (közreműködő), akkor fiktív bevételi tételként felmerülhet a pénzmosás.</w:t>
      </w:r>
    </w:p>
    <w:p w:rsidR="00A40523" w:rsidRPr="001F5A3B" w:rsidRDefault="00A40523" w:rsidP="00A40523">
      <w:pPr>
        <w:autoSpaceDE w:val="0"/>
        <w:autoSpaceDN w:val="0"/>
        <w:adjustRightInd w:val="0"/>
        <w:spacing w:after="0" w:line="240" w:lineRule="auto"/>
        <w:ind w:left="360"/>
        <w:jc w:val="both"/>
        <w:rPr>
          <w:rFonts w:ascii="Times New Roman" w:hAnsi="Times New Roman"/>
          <w:color w:val="000000"/>
          <w:sz w:val="25"/>
          <w:szCs w:val="25"/>
        </w:rPr>
      </w:pPr>
    </w:p>
    <w:p w:rsidR="00A40523" w:rsidRPr="001F5A3B" w:rsidRDefault="00A40523" w:rsidP="00A40523">
      <w:pPr>
        <w:autoSpaceDE w:val="0"/>
        <w:autoSpaceDN w:val="0"/>
        <w:adjustRightInd w:val="0"/>
        <w:spacing w:after="0" w:line="240" w:lineRule="auto"/>
        <w:jc w:val="both"/>
        <w:rPr>
          <w:rFonts w:ascii="Times New Roman" w:hAnsi="Times New Roman"/>
          <w:color w:val="000000"/>
          <w:sz w:val="25"/>
          <w:szCs w:val="25"/>
        </w:rPr>
      </w:pPr>
      <w:r w:rsidRPr="001F5A3B">
        <w:rPr>
          <w:rFonts w:ascii="Times New Roman" w:hAnsi="Times New Roman"/>
          <w:i/>
          <w:color w:val="000000"/>
          <w:sz w:val="25"/>
          <w:szCs w:val="25"/>
        </w:rPr>
        <w:t>Ésszerűtlen végleges pénzeszköz átvétel</w:t>
      </w:r>
      <w:r w:rsidRPr="001F5A3B">
        <w:rPr>
          <w:rFonts w:ascii="Times New Roman" w:hAnsi="Times New Roman"/>
          <w:color w:val="000000"/>
          <w:sz w:val="25"/>
          <w:szCs w:val="25"/>
        </w:rPr>
        <w:t>: A végleges pénzeszköz átadás-átvétel általában legális, a számviteli- és adószabályokban is rendezett művelet, mellyel szemben nem áll ellenszolgáltatás. Akkor keltheti fel az átvevőnél a pénzmosás megtörténtének lehetőségét, ha az egyéb körülmények alapján nem található ennek ésszerű indoka. Például, ha az átvevő egyébként nyereséges, pénze is van és nem tervez új, forrásait meghaladó tevékenységet, nem törekszik bankhitelre.</w:t>
      </w:r>
    </w:p>
    <w:p w:rsidR="00A40523" w:rsidRPr="001F5A3B" w:rsidRDefault="00A40523" w:rsidP="00A40523">
      <w:pPr>
        <w:autoSpaceDE w:val="0"/>
        <w:autoSpaceDN w:val="0"/>
        <w:adjustRightInd w:val="0"/>
        <w:spacing w:after="0" w:line="240" w:lineRule="auto"/>
        <w:ind w:left="360"/>
        <w:jc w:val="both"/>
        <w:rPr>
          <w:rFonts w:ascii="Times New Roman" w:hAnsi="Times New Roman"/>
          <w:color w:val="000000"/>
          <w:sz w:val="25"/>
          <w:szCs w:val="25"/>
        </w:rPr>
      </w:pPr>
    </w:p>
    <w:p w:rsidR="00A40523" w:rsidRPr="001F5A3B" w:rsidRDefault="00A40523" w:rsidP="00A40523">
      <w:pPr>
        <w:autoSpaceDE w:val="0"/>
        <w:autoSpaceDN w:val="0"/>
        <w:adjustRightInd w:val="0"/>
        <w:spacing w:after="0" w:line="240" w:lineRule="auto"/>
        <w:jc w:val="both"/>
        <w:rPr>
          <w:rFonts w:ascii="Times New Roman" w:hAnsi="Times New Roman"/>
          <w:color w:val="000000"/>
          <w:sz w:val="25"/>
          <w:szCs w:val="25"/>
        </w:rPr>
      </w:pPr>
      <w:r w:rsidRPr="001F5A3B">
        <w:rPr>
          <w:rFonts w:ascii="Times New Roman" w:hAnsi="Times New Roman"/>
          <w:i/>
          <w:color w:val="000000"/>
          <w:sz w:val="25"/>
          <w:szCs w:val="25"/>
        </w:rPr>
        <w:t>Ésszerűtlen tagi kölcsönök felvétele:</w:t>
      </w:r>
      <w:r w:rsidRPr="001F5A3B">
        <w:rPr>
          <w:rFonts w:ascii="Times New Roman" w:hAnsi="Times New Roman"/>
          <w:color w:val="000000"/>
          <w:sz w:val="25"/>
          <w:szCs w:val="25"/>
        </w:rPr>
        <w:t xml:space="preserve"> A tagi kölcsön felvétele, nyújtása – hasonlóan a végleges pénzeszköz átadás-átvételhez – általában legális, szabályozott művelet, mellyel szemben nem áll ellenszolgáltatás. A tagi kölcsön azonban ideiglenes jellegű pénz átadás. Akkor vetheti fel a kölcsönt felvevőnél a pénzmosás megtörténtének lehetőségét, ha az egyéb körülmények alapján nem található ennek ésszerű indoka. Például, ha az átvevő egyébként nyereséges, pénze is van, és nem tervez új, forrásait meghaladó tevékenységet, nem törekszik bankkölcsön felvételére. Felvetheti a pénzmosás megtörténtének lehetőségét a rendszeres, indokolhatatlan tagi kölcsön felvétele különösen akkor, ha annak visszafizetésére láthatóan nem törekszik sem az adós ügyfél, sem annak tulajdonosa, mert a pénzt más úton továbbítja (például aránytalanul olcsó áron eladott termékekkel, vagy más nyilvánvalóan veszteséges tevékenységgel), és ezáltal a kölcsön visszafizetésére nyilvánvalóan nincs is esély.</w:t>
      </w:r>
    </w:p>
    <w:p w:rsidR="00A40523" w:rsidRPr="001F5A3B" w:rsidRDefault="00A40523" w:rsidP="00A40523">
      <w:pPr>
        <w:autoSpaceDE w:val="0"/>
        <w:autoSpaceDN w:val="0"/>
        <w:adjustRightInd w:val="0"/>
        <w:spacing w:after="0" w:line="240" w:lineRule="auto"/>
        <w:ind w:left="360"/>
        <w:jc w:val="both"/>
        <w:rPr>
          <w:rFonts w:ascii="Times New Roman" w:hAnsi="Times New Roman"/>
          <w:color w:val="000000"/>
          <w:sz w:val="25"/>
          <w:szCs w:val="25"/>
        </w:rPr>
      </w:pPr>
    </w:p>
    <w:p w:rsidR="00A40523" w:rsidRPr="001F5A3B" w:rsidRDefault="00A40523" w:rsidP="00A40523">
      <w:pPr>
        <w:autoSpaceDE w:val="0"/>
        <w:autoSpaceDN w:val="0"/>
        <w:adjustRightInd w:val="0"/>
        <w:spacing w:after="0" w:line="240" w:lineRule="auto"/>
        <w:jc w:val="both"/>
        <w:rPr>
          <w:rFonts w:ascii="Times New Roman" w:hAnsi="Times New Roman"/>
          <w:color w:val="000000"/>
          <w:sz w:val="25"/>
          <w:szCs w:val="25"/>
        </w:rPr>
      </w:pPr>
      <w:r w:rsidRPr="001F5A3B">
        <w:rPr>
          <w:rFonts w:ascii="Times New Roman" w:hAnsi="Times New Roman"/>
          <w:i/>
          <w:color w:val="000000"/>
          <w:sz w:val="25"/>
          <w:szCs w:val="25"/>
        </w:rPr>
        <w:t>Kötelezettségről a jogosult az ügyfél javára egyoldalúan lemond</w:t>
      </w:r>
      <w:r w:rsidRPr="001F5A3B">
        <w:rPr>
          <w:rFonts w:ascii="Times New Roman" w:hAnsi="Times New Roman"/>
          <w:color w:val="000000"/>
          <w:sz w:val="25"/>
          <w:szCs w:val="25"/>
        </w:rPr>
        <w:t xml:space="preserve">: Ezeknél az eseteknél az ügyfél valamilyen (általában bevétellel kapcsolatban keletkezett) kötelezettségének </w:t>
      </w:r>
      <w:r w:rsidRPr="001F5A3B">
        <w:rPr>
          <w:rFonts w:ascii="Times New Roman" w:hAnsi="Times New Roman"/>
          <w:color w:val="000000"/>
          <w:sz w:val="25"/>
          <w:szCs w:val="25"/>
        </w:rPr>
        <w:lastRenderedPageBreak/>
        <w:t>megfizetésétől mentesül úgy, hogy annak nincs látható, ésszerű indoka. A lemondás a jogosult egyoldalú jognyilatkozata, mely ellenszolgáltatás nélküli. A beszámítás (kompenzáció) nem ilyen művelet, mert ott ellenszolgáltatásként a jogosult is lemond valamely követeléséről.</w:t>
      </w:r>
    </w:p>
    <w:p w:rsidR="00A40523" w:rsidRPr="001F5A3B" w:rsidRDefault="00A40523" w:rsidP="00A40523">
      <w:pPr>
        <w:autoSpaceDE w:val="0"/>
        <w:autoSpaceDN w:val="0"/>
        <w:adjustRightInd w:val="0"/>
        <w:spacing w:after="0" w:line="240" w:lineRule="auto"/>
        <w:ind w:left="360"/>
        <w:jc w:val="both"/>
        <w:rPr>
          <w:rFonts w:ascii="Times New Roman" w:hAnsi="Times New Roman"/>
          <w:color w:val="000000"/>
          <w:sz w:val="25"/>
          <w:szCs w:val="25"/>
        </w:rPr>
      </w:pPr>
    </w:p>
    <w:p w:rsidR="00A40523" w:rsidRPr="001F5A3B" w:rsidRDefault="00A40523" w:rsidP="00A40523">
      <w:pPr>
        <w:autoSpaceDE w:val="0"/>
        <w:autoSpaceDN w:val="0"/>
        <w:adjustRightInd w:val="0"/>
        <w:spacing w:after="0" w:line="240" w:lineRule="auto"/>
        <w:jc w:val="both"/>
        <w:rPr>
          <w:rFonts w:ascii="Times New Roman" w:hAnsi="Times New Roman"/>
          <w:color w:val="000000"/>
          <w:sz w:val="25"/>
          <w:szCs w:val="25"/>
        </w:rPr>
      </w:pPr>
      <w:r w:rsidRPr="001F5A3B">
        <w:rPr>
          <w:rFonts w:ascii="Times New Roman" w:hAnsi="Times New Roman"/>
          <w:i/>
          <w:color w:val="000000"/>
          <w:sz w:val="25"/>
          <w:szCs w:val="25"/>
        </w:rPr>
        <w:t xml:space="preserve">Pénz átfolyatás: </w:t>
      </w:r>
      <w:r w:rsidRPr="001F5A3B">
        <w:rPr>
          <w:rFonts w:ascii="Times New Roman" w:hAnsi="Times New Roman"/>
          <w:color w:val="000000"/>
          <w:sz w:val="25"/>
          <w:szCs w:val="25"/>
        </w:rPr>
        <w:t>Ez olyan tevékenység, amikor az ügyfél nyilvánvalóan csak közvetít anélkül, hogy bármiféle hozzáadott értéket termelne. Ezzel a pénzmosási út nyújtása érhető el. Felderítése nagyon nehéz és csak szélsőséges esetekben van rá mód. Erre utaló jel lehet például, ha egy ügyfél úgy játszik közvetítő kereskedői szerepet, hogy maga köti meg az ügyleteket, de az adott áru megegyező beszerzési és eladási árán kívül nincs más kiadása, bevétele: tevékenysége a számlázásra és a beérkező számlák befogadására korlátozódik.</w:t>
      </w:r>
    </w:p>
    <w:p w:rsidR="00A40523" w:rsidRPr="001F5A3B" w:rsidRDefault="00A40523" w:rsidP="00A40523">
      <w:pPr>
        <w:autoSpaceDE w:val="0"/>
        <w:autoSpaceDN w:val="0"/>
        <w:adjustRightInd w:val="0"/>
        <w:spacing w:after="0" w:line="240" w:lineRule="auto"/>
        <w:jc w:val="both"/>
        <w:rPr>
          <w:rFonts w:ascii="Times New Roman" w:hAnsi="Times New Roman"/>
          <w:color w:val="000000"/>
          <w:sz w:val="25"/>
          <w:szCs w:val="25"/>
        </w:rPr>
      </w:pPr>
    </w:p>
    <w:p w:rsidR="00A40523" w:rsidRPr="001F5A3B" w:rsidRDefault="00A40523" w:rsidP="00A40523">
      <w:pPr>
        <w:autoSpaceDE w:val="0"/>
        <w:autoSpaceDN w:val="0"/>
        <w:adjustRightInd w:val="0"/>
        <w:spacing w:after="0" w:line="240" w:lineRule="auto"/>
        <w:jc w:val="both"/>
        <w:rPr>
          <w:rFonts w:ascii="Times New Roman" w:hAnsi="Times New Roman"/>
          <w:color w:val="000000"/>
          <w:sz w:val="25"/>
          <w:szCs w:val="25"/>
        </w:rPr>
      </w:pPr>
      <w:r w:rsidRPr="001F5A3B">
        <w:rPr>
          <w:rFonts w:ascii="Times New Roman" w:hAnsi="Times New Roman"/>
          <w:i/>
          <w:color w:val="000000"/>
          <w:sz w:val="25"/>
          <w:szCs w:val="25"/>
        </w:rPr>
        <w:t>Ésszerűen nem indokolható tőkeműveletek:</w:t>
      </w:r>
      <w:r w:rsidRPr="001F5A3B">
        <w:rPr>
          <w:rFonts w:ascii="Times New Roman" w:hAnsi="Times New Roman"/>
          <w:color w:val="000000"/>
          <w:sz w:val="25"/>
          <w:szCs w:val="25"/>
        </w:rPr>
        <w:t xml:space="preserve"> E körbe azok a rövid határidőn belül lezajló tőkeműveletek tartozhatnak, melyek az ügyfél gazdálkodásával és egyéb szempontok alapján (pl. adóoptimalizálás) nem indokolhatóak. Ilyen lehet például egy új tulajdonos nagy összegű tőkeemelése, majd ezen üzletrész rövid időn belül történő értékesítése, majd szintén rövid időn belüli tőkeleszállítással történő pénzkivonás úgy, hogy ezen műveletsornak nem lelhető ésszerű indoka. Fokozza a pénzmosás megtörténtének lehetőségére utaló jelleget, ha az egyes szereplőket a szolgáltató nem tudja azonosítani, illetve ha az ügyletsorozat indokát előtte nem fedik fel. Általában azonban tőkemozgások nem utalnak pénzmosásra.</w:t>
      </w:r>
    </w:p>
    <w:p w:rsidR="00A40523" w:rsidRPr="001F5A3B" w:rsidRDefault="00A40523" w:rsidP="00A40523">
      <w:pPr>
        <w:autoSpaceDE w:val="0"/>
        <w:autoSpaceDN w:val="0"/>
        <w:adjustRightInd w:val="0"/>
        <w:spacing w:after="0" w:line="240" w:lineRule="auto"/>
        <w:jc w:val="both"/>
        <w:rPr>
          <w:rFonts w:ascii="Times New Roman" w:hAnsi="Times New Roman"/>
          <w:color w:val="000000"/>
          <w:sz w:val="25"/>
          <w:szCs w:val="25"/>
        </w:rPr>
      </w:pPr>
    </w:p>
    <w:p w:rsidR="00A40523" w:rsidRPr="001F5A3B" w:rsidRDefault="00A40523" w:rsidP="00A40523">
      <w:pPr>
        <w:autoSpaceDE w:val="0"/>
        <w:autoSpaceDN w:val="0"/>
        <w:adjustRightInd w:val="0"/>
        <w:spacing w:after="0" w:line="240" w:lineRule="auto"/>
        <w:jc w:val="both"/>
        <w:rPr>
          <w:rFonts w:ascii="Times New Roman" w:hAnsi="Times New Roman"/>
          <w:color w:val="000000"/>
          <w:sz w:val="25"/>
          <w:szCs w:val="25"/>
        </w:rPr>
      </w:pPr>
      <w:r w:rsidRPr="001F5A3B">
        <w:rPr>
          <w:rFonts w:ascii="Times New Roman" w:hAnsi="Times New Roman"/>
          <w:i/>
          <w:color w:val="000000"/>
          <w:sz w:val="25"/>
          <w:szCs w:val="25"/>
        </w:rPr>
        <w:t>Szokatlan és indokolatlan nagy összegű készpénzbevételek:</w:t>
      </w:r>
      <w:r w:rsidRPr="001F5A3B">
        <w:rPr>
          <w:rFonts w:ascii="Times New Roman" w:hAnsi="Times New Roman"/>
          <w:color w:val="000000"/>
          <w:sz w:val="25"/>
          <w:szCs w:val="25"/>
        </w:rPr>
        <w:t xml:space="preserve"> Általában a készpénzműveletek teljesen legálisak, tehát pusztán attól, hogy valamely gazdálkodó készpénzbevételekre tesz szert, még nem követ el szabálytalanságot. A pénzmosás megtörténtének lehetősége akkor vethető fel, ha e nagyobb összegű bevételek szokatlanok az adott tevékenységnél, illetve, ha egyéb ésszerű indok ezekre nincs.</w:t>
      </w:r>
    </w:p>
    <w:p w:rsidR="00A40523" w:rsidRPr="001F5A3B" w:rsidRDefault="00A40523" w:rsidP="00A40523">
      <w:pPr>
        <w:autoSpaceDE w:val="0"/>
        <w:autoSpaceDN w:val="0"/>
        <w:adjustRightInd w:val="0"/>
        <w:spacing w:after="0" w:line="240" w:lineRule="auto"/>
        <w:ind w:left="360"/>
        <w:jc w:val="both"/>
        <w:rPr>
          <w:rFonts w:ascii="Times New Roman" w:hAnsi="Times New Roman"/>
          <w:color w:val="000000"/>
          <w:sz w:val="25"/>
          <w:szCs w:val="25"/>
        </w:rPr>
      </w:pPr>
    </w:p>
    <w:p w:rsidR="00A40523" w:rsidRPr="001F5A3B" w:rsidRDefault="00A40523" w:rsidP="00A40523">
      <w:pPr>
        <w:autoSpaceDE w:val="0"/>
        <w:autoSpaceDN w:val="0"/>
        <w:adjustRightInd w:val="0"/>
        <w:spacing w:after="0" w:line="240" w:lineRule="auto"/>
        <w:jc w:val="both"/>
        <w:rPr>
          <w:rFonts w:ascii="Times New Roman" w:hAnsi="Times New Roman"/>
          <w:color w:val="000000"/>
          <w:sz w:val="25"/>
          <w:szCs w:val="25"/>
        </w:rPr>
      </w:pPr>
      <w:r w:rsidRPr="001F5A3B">
        <w:rPr>
          <w:rFonts w:ascii="Times New Roman" w:hAnsi="Times New Roman"/>
          <w:i/>
          <w:color w:val="000000"/>
          <w:sz w:val="25"/>
          <w:szCs w:val="25"/>
        </w:rPr>
        <w:t xml:space="preserve">Leltári többletek: </w:t>
      </w:r>
      <w:r w:rsidRPr="001F5A3B">
        <w:rPr>
          <w:rFonts w:ascii="Times New Roman" w:hAnsi="Times New Roman"/>
          <w:color w:val="000000"/>
          <w:sz w:val="25"/>
          <w:szCs w:val="25"/>
        </w:rPr>
        <w:t>Ha egy gazdálkodónál anélkül tapasztalhatók rendszeresen, nagy összegű leltári többletek, hogy annak okai meghatározásra kerültek volna, illetve ezen okok ésszerűek lennének, ezen körülmények utalhatnak pénzmosásra főleg akkor, ha ezen leltári többletek nincsenek összefüggésben a vállalkozási tevékenységgel, illetve anélkül jelennek meg, hogy azokat leltár hiányok kísérnék.</w:t>
      </w:r>
    </w:p>
    <w:p w:rsidR="00A40523" w:rsidRPr="001F5A3B" w:rsidRDefault="00A40523" w:rsidP="00A40523">
      <w:pPr>
        <w:autoSpaceDE w:val="0"/>
        <w:autoSpaceDN w:val="0"/>
        <w:adjustRightInd w:val="0"/>
        <w:spacing w:after="0" w:line="240" w:lineRule="auto"/>
        <w:ind w:left="360"/>
        <w:jc w:val="both"/>
        <w:rPr>
          <w:rFonts w:ascii="Times New Roman" w:hAnsi="Times New Roman"/>
          <w:color w:val="000000"/>
          <w:sz w:val="25"/>
          <w:szCs w:val="25"/>
        </w:rPr>
      </w:pPr>
    </w:p>
    <w:p w:rsidR="00A40523" w:rsidRPr="001F5A3B" w:rsidRDefault="00A40523" w:rsidP="00A40523">
      <w:pPr>
        <w:autoSpaceDE w:val="0"/>
        <w:autoSpaceDN w:val="0"/>
        <w:adjustRightInd w:val="0"/>
        <w:spacing w:after="0" w:line="240" w:lineRule="auto"/>
        <w:jc w:val="both"/>
        <w:rPr>
          <w:rFonts w:ascii="Times New Roman" w:hAnsi="Times New Roman"/>
          <w:color w:val="000000"/>
          <w:sz w:val="25"/>
          <w:szCs w:val="25"/>
        </w:rPr>
      </w:pPr>
      <w:r w:rsidRPr="001F5A3B">
        <w:rPr>
          <w:rFonts w:ascii="Times New Roman" w:hAnsi="Times New Roman"/>
          <w:i/>
          <w:color w:val="000000"/>
          <w:sz w:val="25"/>
          <w:szCs w:val="25"/>
        </w:rPr>
        <w:t>Cégvezetés körülményei</w:t>
      </w:r>
      <w:r w:rsidRPr="001F5A3B">
        <w:rPr>
          <w:rFonts w:ascii="Times New Roman" w:hAnsi="Times New Roman"/>
          <w:color w:val="000000"/>
          <w:sz w:val="25"/>
          <w:szCs w:val="25"/>
        </w:rPr>
        <w:t>: Nyilvánvalóan alkalmatlan személyek – strómanok – igénybevétele a cégvezetéshez, mint hajléktalanok stb. A szolgáltató azt tapasztalja, hogy a céget valójában nem az ügyvezetőként, és tulajdonosként megjelölt személy vezeti, helyette mások adják az utasításokat, még akkor is, ha a vezető jelen van, sőt ő kér telefonon,vagy más módon segítséget tárgyalás közben. E körülmény önmagában csak figyelemfelhívásra alkalmas.</w:t>
      </w:r>
    </w:p>
    <w:p w:rsidR="00A40523" w:rsidRPr="001F5A3B" w:rsidRDefault="00A40523" w:rsidP="00A40523">
      <w:pPr>
        <w:autoSpaceDE w:val="0"/>
        <w:autoSpaceDN w:val="0"/>
        <w:adjustRightInd w:val="0"/>
        <w:spacing w:after="0" w:line="240" w:lineRule="auto"/>
        <w:ind w:left="360"/>
        <w:jc w:val="both"/>
        <w:rPr>
          <w:rFonts w:ascii="Times New Roman" w:hAnsi="Times New Roman"/>
          <w:color w:val="000000"/>
          <w:sz w:val="25"/>
          <w:szCs w:val="25"/>
        </w:rPr>
      </w:pPr>
      <w:r w:rsidRPr="001F5A3B">
        <w:rPr>
          <w:rFonts w:ascii="Times New Roman" w:hAnsi="Times New Roman"/>
          <w:color w:val="000000"/>
          <w:sz w:val="25"/>
          <w:szCs w:val="25"/>
        </w:rPr>
        <w:tab/>
      </w:r>
    </w:p>
    <w:p w:rsidR="00A40523" w:rsidRPr="001F5A3B" w:rsidRDefault="00A40523" w:rsidP="00A40523">
      <w:pPr>
        <w:autoSpaceDE w:val="0"/>
        <w:autoSpaceDN w:val="0"/>
        <w:adjustRightInd w:val="0"/>
        <w:spacing w:after="0" w:line="240" w:lineRule="auto"/>
        <w:jc w:val="both"/>
        <w:rPr>
          <w:rFonts w:ascii="Times New Roman" w:hAnsi="Times New Roman"/>
          <w:color w:val="000000"/>
          <w:sz w:val="25"/>
          <w:szCs w:val="25"/>
        </w:rPr>
      </w:pPr>
      <w:r w:rsidRPr="001F5A3B">
        <w:rPr>
          <w:rFonts w:ascii="Times New Roman" w:hAnsi="Times New Roman"/>
          <w:i/>
          <w:color w:val="000000"/>
          <w:sz w:val="25"/>
          <w:szCs w:val="25"/>
        </w:rPr>
        <w:t>Székhely nélküli tevékenység</w:t>
      </w:r>
      <w:r w:rsidRPr="001F5A3B">
        <w:rPr>
          <w:rFonts w:ascii="Times New Roman" w:hAnsi="Times New Roman"/>
          <w:color w:val="000000"/>
          <w:sz w:val="25"/>
          <w:szCs w:val="25"/>
        </w:rPr>
        <w:t>: Az ügyfél a könyvelőt kéri meg arra, hogy székhelyként bocsássa rendelkezésre saját irodáját, vagy a könyvelő tudomással bír arról, hogy a társaságnak a bejelentett székhelye nem létező. Ugyanúgy alkalmas a figyelemfelhívásra az a körülmény is, ha a könyvelő székhelye indokolatlanul távoli a könyvelt cégtől, és a kapcsolatnak nincsenek előzményei sem.</w:t>
      </w:r>
    </w:p>
    <w:p w:rsidR="00A40523" w:rsidRPr="001F5A3B" w:rsidRDefault="00A40523" w:rsidP="00A40523">
      <w:pPr>
        <w:autoSpaceDE w:val="0"/>
        <w:autoSpaceDN w:val="0"/>
        <w:adjustRightInd w:val="0"/>
        <w:spacing w:after="0" w:line="240" w:lineRule="auto"/>
        <w:ind w:left="360"/>
        <w:jc w:val="both"/>
        <w:rPr>
          <w:rFonts w:ascii="Times New Roman" w:hAnsi="Times New Roman"/>
          <w:color w:val="000000"/>
          <w:sz w:val="25"/>
          <w:szCs w:val="25"/>
        </w:rPr>
      </w:pPr>
    </w:p>
    <w:p w:rsidR="00A40523" w:rsidRPr="001F5A3B" w:rsidRDefault="00A40523" w:rsidP="009D7C6D">
      <w:pPr>
        <w:autoSpaceDE w:val="0"/>
        <w:autoSpaceDN w:val="0"/>
        <w:adjustRightInd w:val="0"/>
        <w:spacing w:after="0" w:line="240" w:lineRule="auto"/>
        <w:jc w:val="both"/>
        <w:rPr>
          <w:rFonts w:ascii="Times New Roman" w:hAnsi="Times New Roman"/>
          <w:color w:val="000000"/>
          <w:sz w:val="25"/>
          <w:szCs w:val="25"/>
        </w:rPr>
      </w:pPr>
      <w:r w:rsidRPr="001F5A3B">
        <w:rPr>
          <w:rFonts w:ascii="Times New Roman" w:hAnsi="Times New Roman"/>
          <w:i/>
          <w:color w:val="000000"/>
          <w:sz w:val="25"/>
          <w:szCs w:val="25"/>
        </w:rPr>
        <w:lastRenderedPageBreak/>
        <w:t xml:space="preserve">Tulajdonosváltáshoz </w:t>
      </w:r>
      <w:r w:rsidRPr="001F5A3B">
        <w:rPr>
          <w:rFonts w:ascii="Times New Roman" w:hAnsi="Times New Roman"/>
          <w:color w:val="000000"/>
          <w:sz w:val="25"/>
          <w:szCs w:val="25"/>
        </w:rPr>
        <w:t xml:space="preserve">kapcsolódó hirtelen, indokolatlan növekedés a forgalomban, vagy annak irányában, melyet nem előz meg sem befektetés, sem más indok.  </w:t>
      </w:r>
    </w:p>
    <w:p w:rsidR="00A40523" w:rsidRPr="001F5A3B" w:rsidRDefault="00A40523" w:rsidP="00A40523">
      <w:pPr>
        <w:autoSpaceDE w:val="0"/>
        <w:autoSpaceDN w:val="0"/>
        <w:adjustRightInd w:val="0"/>
        <w:spacing w:after="0" w:line="240" w:lineRule="auto"/>
        <w:ind w:left="360"/>
        <w:jc w:val="both"/>
        <w:rPr>
          <w:rFonts w:ascii="Times New Roman" w:hAnsi="Times New Roman"/>
          <w:color w:val="000000"/>
          <w:sz w:val="25"/>
          <w:szCs w:val="25"/>
        </w:rPr>
      </w:pPr>
    </w:p>
    <w:p w:rsidR="00A40523" w:rsidRPr="00FA10EF" w:rsidRDefault="00A40523" w:rsidP="009D7C6D">
      <w:pPr>
        <w:autoSpaceDE w:val="0"/>
        <w:autoSpaceDN w:val="0"/>
        <w:adjustRightInd w:val="0"/>
        <w:spacing w:after="0" w:line="240" w:lineRule="auto"/>
        <w:jc w:val="both"/>
        <w:rPr>
          <w:rFonts w:ascii="Times New Roman" w:hAnsi="Times New Roman"/>
          <w:color w:val="000000"/>
          <w:sz w:val="25"/>
          <w:szCs w:val="25"/>
        </w:rPr>
      </w:pPr>
      <w:r w:rsidRPr="001F5A3B">
        <w:rPr>
          <w:rFonts w:ascii="Times New Roman" w:hAnsi="Times New Roman"/>
          <w:i/>
          <w:color w:val="000000"/>
          <w:sz w:val="25"/>
          <w:szCs w:val="25"/>
        </w:rPr>
        <w:t>Szokatlan tőkeműveletek:</w:t>
      </w:r>
      <w:r w:rsidRPr="001F5A3B">
        <w:rPr>
          <w:rFonts w:ascii="Times New Roman" w:hAnsi="Times New Roman"/>
          <w:color w:val="000000"/>
          <w:sz w:val="25"/>
          <w:szCs w:val="25"/>
        </w:rPr>
        <w:t xml:space="preserve"> A könyvvizsgált társaság tevékenysége, illetve tőkeműveletei eltérnek a hasonló tevékenységi körrel dolgozó társaságoktól, indokolatlanul alkalmaz készpénzműveleteket, vagy szokatlan üzleteket köt (indokolatlanul vesz igénybe ügynököt, tanulmányokért fizet ki jelentős pénzösszeget, alkalmaz külföldi közvetítőket)</w:t>
      </w:r>
    </w:p>
    <w:p w:rsidR="00A40523" w:rsidRPr="00FA10EF" w:rsidRDefault="00A40523" w:rsidP="00A40523">
      <w:pPr>
        <w:autoSpaceDE w:val="0"/>
        <w:autoSpaceDN w:val="0"/>
        <w:adjustRightInd w:val="0"/>
        <w:spacing w:after="0" w:line="240" w:lineRule="auto"/>
        <w:ind w:left="360"/>
        <w:jc w:val="both"/>
        <w:rPr>
          <w:rFonts w:ascii="Times New Roman" w:hAnsi="Times New Roman"/>
          <w:color w:val="000000"/>
          <w:sz w:val="25"/>
          <w:szCs w:val="25"/>
        </w:rPr>
      </w:pPr>
    </w:p>
    <w:p w:rsidR="00A40523" w:rsidRPr="00FA10EF" w:rsidRDefault="00A40523" w:rsidP="00A40523">
      <w:pPr>
        <w:pStyle w:val="Listaszerbekezds"/>
        <w:keepNext/>
        <w:spacing w:after="0" w:line="240" w:lineRule="auto"/>
        <w:jc w:val="center"/>
        <w:outlineLvl w:val="0"/>
        <w:rPr>
          <w:rFonts w:ascii="Times New Roman" w:eastAsia="Times New Roman" w:hAnsi="Times New Roman" w:cs="Times New Roman"/>
          <w:sz w:val="25"/>
          <w:szCs w:val="25"/>
          <w:lang w:eastAsia="hu-HU"/>
        </w:rPr>
      </w:pPr>
    </w:p>
    <w:p w:rsidR="00A40523" w:rsidRPr="00FA10EF" w:rsidRDefault="00A40523" w:rsidP="00A40523">
      <w:pPr>
        <w:spacing w:after="0" w:line="240" w:lineRule="auto"/>
        <w:jc w:val="both"/>
        <w:rPr>
          <w:rFonts w:ascii="Times New Roman" w:hAnsi="Times New Roman" w:cs="Times New Roman"/>
          <w:sz w:val="25"/>
          <w:szCs w:val="25"/>
        </w:rPr>
      </w:pPr>
    </w:p>
    <w:p w:rsidR="00A40523" w:rsidRPr="00FA10EF" w:rsidRDefault="00A40523" w:rsidP="00A40523">
      <w:pPr>
        <w:spacing w:after="0" w:line="240" w:lineRule="auto"/>
        <w:jc w:val="both"/>
        <w:rPr>
          <w:rFonts w:ascii="Times New Roman" w:hAnsi="Times New Roman" w:cs="Times New Roman"/>
          <w:sz w:val="25"/>
          <w:szCs w:val="25"/>
        </w:rPr>
      </w:pPr>
    </w:p>
    <w:p w:rsidR="00A40523" w:rsidRPr="00FA10EF" w:rsidRDefault="00A40523" w:rsidP="00A40523">
      <w:pPr>
        <w:spacing w:after="0" w:line="240" w:lineRule="auto"/>
        <w:jc w:val="both"/>
        <w:rPr>
          <w:rFonts w:ascii="Times New Roman" w:hAnsi="Times New Roman" w:cs="Times New Roman"/>
          <w:iCs/>
          <w:sz w:val="25"/>
          <w:szCs w:val="25"/>
        </w:rPr>
      </w:pPr>
    </w:p>
    <w:p w:rsidR="00A40523" w:rsidRPr="00FA10EF" w:rsidRDefault="00A40523" w:rsidP="00A40523">
      <w:pPr>
        <w:spacing w:after="0" w:line="240" w:lineRule="auto"/>
        <w:jc w:val="both"/>
        <w:rPr>
          <w:rFonts w:ascii="Times New Roman" w:hAnsi="Times New Roman" w:cs="Times New Roman"/>
          <w:sz w:val="25"/>
          <w:szCs w:val="25"/>
        </w:rPr>
      </w:pPr>
    </w:p>
    <w:p w:rsidR="00AB1891" w:rsidRDefault="00AB1891"/>
    <w:sectPr w:rsidR="00AB1891">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1D59" w:rsidRDefault="00551D59" w:rsidP="00A40523">
      <w:pPr>
        <w:spacing w:after="0" w:line="240" w:lineRule="auto"/>
      </w:pPr>
      <w:r>
        <w:separator/>
      </w:r>
    </w:p>
  </w:endnote>
  <w:endnote w:type="continuationSeparator" w:id="0">
    <w:p w:rsidR="00551D59" w:rsidRDefault="00551D59" w:rsidP="00A405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66493296"/>
      <w:docPartObj>
        <w:docPartGallery w:val="Page Numbers (Bottom of Page)"/>
        <w:docPartUnique/>
      </w:docPartObj>
    </w:sdtPr>
    <w:sdtEndPr>
      <w:rPr>
        <w:noProof/>
      </w:rPr>
    </w:sdtEndPr>
    <w:sdtContent>
      <w:p w:rsidR="00696203" w:rsidRDefault="00A40523">
        <w:pPr>
          <w:pStyle w:val="llb"/>
          <w:jc w:val="center"/>
        </w:pPr>
        <w:r>
          <w:fldChar w:fldCharType="begin"/>
        </w:r>
        <w:r>
          <w:instrText xml:space="preserve"> PAGE   \* MERGEFORMAT </w:instrText>
        </w:r>
        <w:r>
          <w:fldChar w:fldCharType="separate"/>
        </w:r>
        <w:r w:rsidR="007E7629">
          <w:rPr>
            <w:noProof/>
          </w:rPr>
          <w:t>1</w:t>
        </w:r>
        <w:r>
          <w:rPr>
            <w:noProof/>
          </w:rPr>
          <w:fldChar w:fldCharType="end"/>
        </w:r>
      </w:p>
    </w:sdtContent>
  </w:sdt>
  <w:p w:rsidR="00696203" w:rsidRDefault="00551D59">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1D59" w:rsidRDefault="00551D59" w:rsidP="00A40523">
      <w:pPr>
        <w:spacing w:after="0" w:line="240" w:lineRule="auto"/>
      </w:pPr>
      <w:r>
        <w:separator/>
      </w:r>
    </w:p>
  </w:footnote>
  <w:footnote w:type="continuationSeparator" w:id="0">
    <w:p w:rsidR="00551D59" w:rsidRDefault="00551D59" w:rsidP="00A4052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0523" w:rsidRPr="00A40523" w:rsidRDefault="00A40523" w:rsidP="00A40523">
    <w:pPr>
      <w:pStyle w:val="lfej"/>
      <w:ind w:left="720"/>
      <w:jc w:val="right"/>
      <w:rPr>
        <w:rFonts w:ascii="Times New Roman" w:hAnsi="Times New Roman" w:cs="Times New Roman"/>
      </w:rPr>
    </w:pPr>
    <w:r w:rsidRPr="00A40523">
      <w:rPr>
        <w:rFonts w:ascii="Times New Roman" w:hAnsi="Times New Roman" w:cs="Times New Roman"/>
      </w:rPr>
      <w:t>1.számú melléklet</w:t>
    </w:r>
  </w:p>
  <w:p w:rsidR="002F6F30" w:rsidRDefault="00551D59">
    <w:pPr>
      <w:pStyle w:val="lfej"/>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A72BB8"/>
    <w:multiLevelType w:val="hybridMultilevel"/>
    <w:tmpl w:val="C3286BA6"/>
    <w:lvl w:ilvl="0" w:tplc="040E0017">
      <w:start w:val="1"/>
      <w:numFmt w:val="lowerLetter"/>
      <w:lvlText w:val="%1)"/>
      <w:lvlJc w:val="left"/>
      <w:pPr>
        <w:ind w:left="720" w:hanging="360"/>
      </w:p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362B5097"/>
    <w:multiLevelType w:val="hybridMultilevel"/>
    <w:tmpl w:val="0E28596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4A9B6A31"/>
    <w:multiLevelType w:val="hybridMultilevel"/>
    <w:tmpl w:val="4A8A042C"/>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4C4A03F9"/>
    <w:multiLevelType w:val="hybridMultilevel"/>
    <w:tmpl w:val="35B0F1C8"/>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5E261A16"/>
    <w:multiLevelType w:val="hybridMultilevel"/>
    <w:tmpl w:val="F0DA737C"/>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5F5A56B6"/>
    <w:multiLevelType w:val="multilevel"/>
    <w:tmpl w:val="11B0D3EA"/>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73A2637E"/>
    <w:multiLevelType w:val="hybridMultilevel"/>
    <w:tmpl w:val="474A4884"/>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2"/>
  </w:num>
  <w:num w:numId="2">
    <w:abstractNumId w:val="4"/>
  </w:num>
  <w:num w:numId="3">
    <w:abstractNumId w:val="6"/>
  </w:num>
  <w:num w:numId="4">
    <w:abstractNumId w:val="3"/>
  </w:num>
  <w:num w:numId="5">
    <w:abstractNumId w:val="0"/>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20BD"/>
    <w:rsid w:val="001F5A3B"/>
    <w:rsid w:val="003E7AE4"/>
    <w:rsid w:val="00551D59"/>
    <w:rsid w:val="007E7629"/>
    <w:rsid w:val="008A23B7"/>
    <w:rsid w:val="009D7C6D"/>
    <w:rsid w:val="00A40523"/>
    <w:rsid w:val="00AB1891"/>
    <w:rsid w:val="00B82D96"/>
    <w:rsid w:val="00CD20BD"/>
    <w:rsid w:val="00D87D9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2CDDD52-FD2D-4CE5-9BA7-3453E06D7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A40523"/>
    <w:pPr>
      <w:spacing w:after="160" w:line="259" w:lineRule="auto"/>
    </w:p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A40523"/>
    <w:pPr>
      <w:tabs>
        <w:tab w:val="center" w:pos="4536"/>
        <w:tab w:val="right" w:pos="9072"/>
      </w:tabs>
      <w:spacing w:after="0" w:line="240" w:lineRule="auto"/>
    </w:pPr>
  </w:style>
  <w:style w:type="character" w:customStyle="1" w:styleId="lfejChar">
    <w:name w:val="Élőfej Char"/>
    <w:basedOn w:val="Bekezdsalapbettpusa"/>
    <w:link w:val="lfej"/>
    <w:uiPriority w:val="99"/>
    <w:rsid w:val="00A40523"/>
  </w:style>
  <w:style w:type="paragraph" w:styleId="llb">
    <w:name w:val="footer"/>
    <w:basedOn w:val="Norml"/>
    <w:link w:val="llbChar"/>
    <w:uiPriority w:val="99"/>
    <w:unhideWhenUsed/>
    <w:rsid w:val="00A40523"/>
    <w:pPr>
      <w:tabs>
        <w:tab w:val="center" w:pos="4536"/>
        <w:tab w:val="right" w:pos="9072"/>
      </w:tabs>
      <w:spacing w:after="0" w:line="240" w:lineRule="auto"/>
    </w:pPr>
  </w:style>
  <w:style w:type="character" w:customStyle="1" w:styleId="llbChar">
    <w:name w:val="Élőláb Char"/>
    <w:basedOn w:val="Bekezdsalapbettpusa"/>
    <w:link w:val="llb"/>
    <w:uiPriority w:val="99"/>
    <w:rsid w:val="00A40523"/>
  </w:style>
  <w:style w:type="paragraph" w:styleId="Listaszerbekezds">
    <w:name w:val="List Paragraph"/>
    <w:aliases w:val="List Paragraph à moi,lista_2,Számozott lista 1,Eszeri felsorolás,List Paragraph1,Welt L Char,Welt L,Bullet List,FooterText,numbered,Paragraphe de liste1,Bulletr List Paragraph,列出段落,列出段落1,Listeafsnit1,リスト段落1"/>
    <w:basedOn w:val="Norml"/>
    <w:link w:val="ListaszerbekezdsChar"/>
    <w:uiPriority w:val="4"/>
    <w:qFormat/>
    <w:rsid w:val="00A40523"/>
    <w:pPr>
      <w:ind w:left="720"/>
      <w:contextualSpacing/>
    </w:pPr>
  </w:style>
  <w:style w:type="character" w:customStyle="1" w:styleId="ListaszerbekezdsChar">
    <w:name w:val="Listaszerű bekezdés Char"/>
    <w:aliases w:val="List Paragraph à moi Char,lista_2 Char,Számozott lista 1 Char,Eszeri felsorolás Char,List Paragraph1 Char,Welt L Char Char,Welt L Char1,Bullet List Char,FooterText Char,numbered Char,Paragraphe de liste1 Char,列出段落 Char"/>
    <w:link w:val="Listaszerbekezds"/>
    <w:uiPriority w:val="4"/>
    <w:rsid w:val="00A40523"/>
  </w:style>
  <w:style w:type="paragraph" w:customStyle="1" w:styleId="Szvegtrzsbehzssal31">
    <w:name w:val="Szövegtörzs behúzással 31"/>
    <w:basedOn w:val="Norml"/>
    <w:rsid w:val="00A40523"/>
    <w:pPr>
      <w:suppressAutoHyphens/>
      <w:spacing w:after="0" w:line="240" w:lineRule="auto"/>
      <w:ind w:left="567" w:hanging="567"/>
      <w:jc w:val="both"/>
    </w:pPr>
    <w:rPr>
      <w:rFonts w:ascii="Times New Roman" w:eastAsia="Times New Roman" w:hAnsi="Times New Roman" w:cs="Times New Roman"/>
      <w:sz w:val="24"/>
      <w:szCs w:val="20"/>
      <w:lang w:eastAsia="zh-CN"/>
    </w:rPr>
  </w:style>
  <w:style w:type="paragraph" w:styleId="Buborkszveg">
    <w:name w:val="Balloon Text"/>
    <w:basedOn w:val="Norml"/>
    <w:link w:val="BuborkszvegChar"/>
    <w:uiPriority w:val="99"/>
    <w:semiHidden/>
    <w:unhideWhenUsed/>
    <w:rsid w:val="00A40523"/>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A4052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1794</Words>
  <Characters>12381</Characters>
  <Application>Microsoft Office Word</Application>
  <DocSecurity>0</DocSecurity>
  <Lines>103</Lines>
  <Paragraphs>28</Paragraphs>
  <ScaleCrop>false</ScaleCrop>
  <HeadingPairs>
    <vt:vector size="2" baseType="variant">
      <vt:variant>
        <vt:lpstr>Cím</vt:lpstr>
      </vt:variant>
      <vt:variant>
        <vt:i4>1</vt:i4>
      </vt:variant>
    </vt:vector>
  </HeadingPairs>
  <TitlesOfParts>
    <vt:vector size="1" baseType="lpstr">
      <vt:lpstr/>
    </vt:vector>
  </TitlesOfParts>
  <Company>Hewlett-Packard Company</Company>
  <LinksUpToDate>false</LinksUpToDate>
  <CharactersWithSpaces>14147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Makai Dániel</dc:creator>
  <cp:lastModifiedBy>Makai Dániel</cp:lastModifiedBy>
  <cp:revision>2</cp:revision>
  <cp:lastPrinted>2017-09-21T09:25:00Z</cp:lastPrinted>
  <dcterms:created xsi:type="dcterms:W3CDTF">2017-09-22T11:50:00Z</dcterms:created>
  <dcterms:modified xsi:type="dcterms:W3CDTF">2017-09-22T11:50:00Z</dcterms:modified>
</cp:coreProperties>
</file>