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70" w:rsidRDefault="009D247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064ADF">
        <w:rPr>
          <w:sz w:val="20"/>
          <w:lang w:val="hu-HU"/>
        </w:rPr>
        <w:t xml:space="preserve">Példa </w:t>
      </w:r>
      <w:r w:rsidR="00F94AB1" w:rsidRPr="00064ADF">
        <w:rPr>
          <w:sz w:val="20"/>
          <w:lang w:val="hu-HU"/>
        </w:rPr>
        <w:t xml:space="preserve">a számviteli </w:t>
      </w:r>
      <w:proofErr w:type="gramStart"/>
      <w:r w:rsidR="00F94AB1" w:rsidRPr="00064ADF">
        <w:rPr>
          <w:sz w:val="20"/>
          <w:lang w:val="hu-HU"/>
        </w:rPr>
        <w:t>szétválasztás</w:t>
      </w:r>
      <w:r w:rsidR="00F94AB1">
        <w:rPr>
          <w:sz w:val="20"/>
          <w:lang w:val="hu-HU"/>
        </w:rPr>
        <w:t>ról</w:t>
      </w:r>
      <w:proofErr w:type="gramEnd"/>
      <w:r w:rsidR="00F94AB1">
        <w:rPr>
          <w:sz w:val="20"/>
          <w:lang w:val="hu-HU"/>
        </w:rPr>
        <w:t xml:space="preserve"> való jelentéstételről </w:t>
      </w:r>
      <w:r w:rsidRPr="00064ADF">
        <w:rPr>
          <w:sz w:val="20"/>
          <w:lang w:val="hu-HU"/>
        </w:rPr>
        <w:t xml:space="preserve">az éves beszámolóra vonatkozó </w:t>
      </w:r>
      <w:r w:rsidR="00F86D86" w:rsidRPr="00064ADF">
        <w:rPr>
          <w:sz w:val="20"/>
          <w:lang w:val="hu-HU"/>
        </w:rPr>
        <w:t xml:space="preserve">független </w:t>
      </w:r>
      <w:r w:rsidR="00F94AB1">
        <w:rPr>
          <w:sz w:val="20"/>
          <w:lang w:val="hu-HU"/>
        </w:rPr>
        <w:t>könyvvizsgálói jelentésben</w:t>
      </w:r>
      <w:r w:rsidR="008B0BB3" w:rsidRPr="00064ADF">
        <w:rPr>
          <w:sz w:val="20"/>
          <w:lang w:val="hu-HU"/>
        </w:rPr>
        <w:t xml:space="preserve"> (nincs melléklet)</w:t>
      </w:r>
      <w:r w:rsidR="0043026F">
        <w:rPr>
          <w:sz w:val="20"/>
          <w:lang w:val="hu-HU"/>
        </w:rPr>
        <w:t xml:space="preserve"> </w:t>
      </w:r>
    </w:p>
    <w:p w:rsidR="00064ADF" w:rsidRPr="005428FF" w:rsidRDefault="00064ADF" w:rsidP="00E268E7">
      <w:pPr>
        <w:rPr>
          <w:lang w:val="hu-HU"/>
        </w:rPr>
      </w:pPr>
    </w:p>
    <w:p w:rsidR="009D2470" w:rsidRPr="006C62FC" w:rsidRDefault="009D2470" w:rsidP="00230CE5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A93590"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társaság részvényeseinek</w:t>
      </w: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/tulajdonosainak </w:t>
      </w: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[vagy más megfelelő címzettnek]</w:t>
      </w:r>
    </w:p>
    <w:p w:rsidR="00F94AB1" w:rsidRDefault="00F94AB1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</w:p>
    <w:p w:rsidR="00F94AB1" w:rsidRDefault="00D16DE5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16D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</w:t>
      </w:r>
      <w:r w:rsidR="00641C0F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z éves beszámoló</w:t>
      </w:r>
      <w:r w:rsidRPr="00D16D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könyvvizsgálatáról készült jelentés</w:t>
      </w:r>
    </w:p>
    <w:p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:rsidR="009D2470" w:rsidRPr="00D46CC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proofErr w:type="gram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201X. évi éves beszámolójának könyvvizsgálatát, amely éves beszámoló a 201X. december 31-i fordulónapra készített mérlegből – melyben az eszközök és források egyező végösszege 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üzleti évre vonatkozó 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eredménykimutatásból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valamint a számviteli politika jelentős elemeinek összefoglalását is tartalmazó kiegészítő mellékletből áll.</w:t>
      </w:r>
      <w:proofErr w:type="gram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proofErr w:type="gramStart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proofErr w:type="gramEnd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a mellékelt 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201X.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:rsidR="009D2470" w:rsidRPr="00D46CC5" w:rsidRDefault="009D2470" w:rsidP="0039715A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proofErr w:type="gram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proofErr w:type="gram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proofErr w:type="gramStart"/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</w:t>
      </w:r>
      <w:proofErr w:type="gramEnd"/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 könyvvizsgáló éves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proofErr w:type="gram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 társaságtól a vonatkozó, Magyarországon hatályos jogszabályokban és a Magyar Könyvvizsgálói Kamara „ A könyvvizsgálói hivatás magatartási (etikai) szabályairól és a fegyelmi eljárásról szóló szabályzata”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-ban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, valamint az ezekben nem rendezett kérdések tekintetében a Nemzetközi Etikai Standardok Testülete által kiadott „Könyvvizsgálók Etikai Kódexe”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-ben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  (az IESBA 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Kódex-ben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  <w:proofErr w:type="gramEnd"/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proofErr w:type="gram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proofErr w:type="gram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megszerzett könyvvizsgálati bizonyíték elegendő és megfelelő alapot nyújt véleményemhez(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ünkhöz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:rsidR="009D2470" w:rsidRPr="00D46CC5" w:rsidRDefault="009D2470" w:rsidP="0039715A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(Cégnév) 201X.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üzleti jelentéséből állnak.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vezetés felelős az üzleti jelentésnek a számviteli törvény, illetve</w:t>
      </w:r>
      <w:r w:rsidR="007E3162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 xml:space="preserve">független könyvvizsgálói </w:t>
      </w:r>
      <w:proofErr w:type="gramStart"/>
      <w:r w:rsidRPr="00D70228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proofErr w:type="gramEnd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„Vélemény” szakaszában az éves beszámolóra adott véleményem(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nem vonatkozik az üzleti jelentésre. </w:t>
      </w:r>
    </w:p>
    <w:p w:rsidR="009D2470" w:rsidRPr="00D70228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éves beszámoló </w:t>
      </w:r>
      <w:proofErr w:type="gramStart"/>
      <w:r w:rsidRPr="00D70228">
        <w:rPr>
          <w:rFonts w:ascii="Times New Roman" w:hAnsi="Times New Roman"/>
          <w:sz w:val="20"/>
          <w:szCs w:val="20"/>
          <w:lang w:val="hu-HU"/>
        </w:rPr>
        <w:t>általam(</w:t>
      </w:r>
      <w:proofErr w:type="spellStart"/>
      <w:proofErr w:type="gramEnd"/>
      <w:r w:rsidRPr="00D70228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az üzleti jelentés átolvasása és ennek során annak mérlegelése, hogy az üzleti jelentés lényeges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en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ellentmond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>-e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az éves beszámoló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nak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vagy a könyvvizsgálat során szerzett ismereteim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r w:rsidRPr="00D70228">
        <w:rPr>
          <w:rFonts w:ascii="Times New Roman" w:hAnsi="Times New Roman"/>
          <w:sz w:val="20"/>
          <w:szCs w:val="20"/>
          <w:lang w:val="hu-HU"/>
        </w:rPr>
        <w:t>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ink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), vagy egyébként úgy tűnik-e, hogy az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lényeges hibás állítást tartalmaz. 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Ha az elvégzett </w:t>
      </w:r>
      <w:proofErr w:type="gramStart"/>
      <w:r w:rsidR="00596590" w:rsidRPr="00D70228">
        <w:rPr>
          <w:rFonts w:ascii="Times New Roman" w:hAnsi="Times New Roman"/>
          <w:sz w:val="20"/>
          <w:szCs w:val="20"/>
          <w:lang w:val="hu-HU"/>
        </w:rPr>
        <w:t>munkám(</w:t>
      </w:r>
      <w:proofErr w:type="spellStart"/>
      <w:proofErr w:type="gramEnd"/>
      <w:r w:rsidR="00596590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D46CC5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D46CC5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D46CC5">
        <w:rPr>
          <w:rFonts w:ascii="Times New Roman" w:hAnsi="Times New Roman"/>
          <w:sz w:val="20"/>
          <w:szCs w:val="20"/>
          <w:lang w:val="hu-HU"/>
        </w:rPr>
        <w:t>)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  <w:r w:rsidR="00D46CC5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:rsidR="00596590" w:rsidRPr="00D70228" w:rsidRDefault="00596590" w:rsidP="0059659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lastRenderedPageBreak/>
        <w:t xml:space="preserve">A számviteli törvény alapján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én (a mi) </w:t>
      </w:r>
      <w:proofErr w:type="gram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felelősségem(</w:t>
      </w:r>
      <w:proofErr w:type="spellStart"/>
      <w:proofErr w:type="gram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továbbá annak megítélése, hogy az üzleti jelentés a számviteli törvény, illetve</w:t>
      </w:r>
      <w:r w:rsidR="005F0B8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</w:t>
      </w:r>
      <w:r w:rsidR="001C0D39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és erről, valamint az üzleti jelentés és az éves beszámoló összhangjáról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 nyilvánítása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:rsidR="00596590" w:rsidRPr="00D70228" w:rsidRDefault="0059659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201X. évi üzleti jelentése </w:t>
      </w:r>
      <w:r w:rsidR="009C53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201X. évi éves beszámolójával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="00BC14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</w:t>
      </w:r>
      <w:proofErr w:type="gram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törvény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>vonatkozó</w:t>
      </w:r>
      <w:proofErr w:type="gramEnd"/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5300E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</w:t>
      </w:r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nem </w:t>
      </w:r>
      <w:proofErr w:type="gramStart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mondok(</w:t>
      </w:r>
      <w:proofErr w:type="spellStart"/>
      <w:proofErr w:type="gramEnd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véleményt.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:rsidR="009D2470" w:rsidRPr="00D70228" w:rsidRDefault="009E7B5E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C45DB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más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lényeges ellentmondás vagy lényeges hibás állítás 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em jutott a </w:t>
      </w:r>
      <w:proofErr w:type="gram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tudomásom(</w:t>
      </w:r>
      <w:proofErr w:type="spellStart"/>
      <w:proofErr w:type="gram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</w:t>
      </w:r>
      <w:r w:rsidR="00133FAB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H</w:t>
      </w:r>
      <w:r w:rsidR="00780171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 van egyéb más jogszabály, amely további követelményeket ír elő az üzleti jelentésre:</w:t>
      </w:r>
    </w:p>
    <w:p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 </w:t>
      </w:r>
      <w:proofErr w:type="gram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felelősségem(</w:t>
      </w:r>
      <w:proofErr w:type="spellStart"/>
      <w:proofErr w:type="gram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kialakításánál a(az) [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], mint </w:t>
      </w:r>
      <w:r w:rsidR="00A9359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jelentésre vonatkozó további követelményeket előíró egyéb más jogszabályt(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vettem(ük) figyelembe. </w:t>
      </w:r>
    </w:p>
    <w:p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szerint a (Cégnév) 201X. évi üzleti jelentése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minden lényeges </w:t>
      </w:r>
      <w:proofErr w:type="gramStart"/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összhangban</w:t>
      </w:r>
      <w:proofErr w:type="gram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van a (Cégnév) 201X. évi éves beszámolójával </w:t>
      </w:r>
      <w:r w:rsidR="005428F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számviteli törvény, valamint az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előzőekben felsorolt egyéb más jogszabály(ok)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:rsidR="009E7B5E" w:rsidRPr="00D70228" w:rsidRDefault="009E7B5E" w:rsidP="009E7B5E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em jutott a </w:t>
      </w:r>
      <w:proofErr w:type="gram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tudomásom(</w:t>
      </w:r>
      <w:proofErr w:type="spellStart"/>
      <w:proofErr w:type="gram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:rsidR="009D2470" w:rsidRPr="00D46CC5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:rsidR="009D2470" w:rsidRPr="00D46CC5" w:rsidRDefault="009D247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 xml:space="preserve">A vezetés felelős az éves beszámolónak a számviteli törvénnyel összhangban történő és a valós bemutatás követelményének megfelelő elkészítéséért, valamint az olyan belső kontrollért, amelyet a vezetés szükségesnek tart ahhoz, hogy lehetővé váljon az akár csalásból, akár hibából eredő lényeges hibás állítástól mentes éves beszámoló elkészítése. </w:t>
      </w:r>
    </w:p>
    <w:p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:rsidR="009D2470" w:rsidRPr="00D46CC5" w:rsidRDefault="009D2470" w:rsidP="0039715A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:rsidR="009D2470" w:rsidRPr="00D46CC5" w:rsidRDefault="009D2470" w:rsidP="0039715A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:rsidR="009D2470" w:rsidRPr="00D46CC5" w:rsidRDefault="009D2470" w:rsidP="0039715A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</w:t>
      </w:r>
      <w:proofErr w:type="gram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proofErr w:type="gram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proofErr w:type="gram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véleményemet</w:t>
      </w:r>
      <w:proofErr w:type="gram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) tartalmazó független könyvvizsgálói jelentést bocsássak(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 xml:space="preserve">ezek önmagukban vagy együttesen befolyásolhatják a felhasználók adott éves beszámoló alapján meghozott gazdasági döntéseit. </w:t>
      </w:r>
    </w:p>
    <w:p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szerinti könyvvizsgálat egésze során szakmai megítélést </w:t>
      </w:r>
      <w:proofErr w:type="gram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alkalmazok(</w:t>
      </w:r>
      <w:proofErr w:type="spellStart"/>
      <w:proofErr w:type="gram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fenn. </w:t>
      </w:r>
    </w:p>
    <w:p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proofErr w:type="gram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proofErr w:type="gram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felmérem(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akár csalásból, akár hibából eredő lényeges hibás állításainak a kockázatait, kialakítom(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proofErr w:type="gramStart"/>
      <w:r w:rsidRPr="00D46CC5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proofErr w:type="gramEnd"/>
      <w:r w:rsidRPr="00D46CC5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</w:t>
      </w:r>
    </w:p>
    <w:p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proofErr w:type="gram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proofErr w:type="gram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ésszerűségét. </w:t>
      </w:r>
    </w:p>
    <w:p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 xml:space="preserve">Következtetést </w:t>
      </w:r>
      <w:proofErr w:type="gramStart"/>
      <w:r w:rsidRPr="00D46CC5">
        <w:rPr>
          <w:rFonts w:ascii="Times New Roman" w:hAnsi="Times New Roman"/>
          <w:sz w:val="20"/>
          <w:szCs w:val="20"/>
          <w:lang w:val="hu-HU"/>
        </w:rPr>
        <w:t>vonok(</w:t>
      </w:r>
      <w:proofErr w:type="spellStart"/>
      <w:proofErr w:type="gramEnd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 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 xml:space="preserve">n. Amennyiben azt a következtetést </w:t>
      </w:r>
      <w:proofErr w:type="gramStart"/>
      <w:r w:rsidRPr="00D46CC5">
        <w:rPr>
          <w:rFonts w:ascii="Times New Roman" w:hAnsi="Times New Roman"/>
          <w:sz w:val="20"/>
          <w:szCs w:val="20"/>
          <w:lang w:val="hu-HU"/>
        </w:rPr>
        <w:t>vonom(</w:t>
      </w:r>
      <w:proofErr w:type="spellStart"/>
      <w:proofErr w:type="gramEnd"/>
      <w:r w:rsidRPr="00D46CC5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fel kell hívnom(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figyelmet az éves beszámolóban lévő kapcsolódó közzétételekre, vagy ha a közzétételek e tekintetben nem megfelelőek, minősítenem(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 xml:space="preserve">). </w:t>
      </w:r>
      <w:proofErr w:type="gramStart"/>
      <w:r w:rsidRPr="00D46CC5">
        <w:rPr>
          <w:rFonts w:ascii="Times New Roman" w:hAnsi="Times New Roman"/>
          <w:sz w:val="20"/>
          <w:szCs w:val="20"/>
          <w:lang w:val="hu-HU"/>
        </w:rPr>
        <w:t>Következtetéseim(</w:t>
      </w:r>
      <w:proofErr w:type="spellStart"/>
      <w:proofErr w:type="gramEnd"/>
      <w:r w:rsidRPr="00D46CC5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proofErr w:type="gram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proofErr w:type="gram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átfogó bemutatását, felépítését és tartalmát, beleértve a kiegészítő mellékletben tett közzétételeket, valamint 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azt is, hogy az éves beszámolóban teljesül-e az alapul szolgáló ügyletek és események valós bemutatása.</w:t>
      </w:r>
    </w:p>
    <w:p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 xml:space="preserve">Az irányítással megbízott személyek tudomására </w:t>
      </w:r>
      <w:proofErr w:type="gram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hozom(</w:t>
      </w:r>
      <w:proofErr w:type="spellStart"/>
      <w:proofErr w:type="gram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ilyenek.</w:t>
      </w:r>
    </w:p>
    <w:p w:rsidR="00682A0F" w:rsidRDefault="00682A0F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:rsidR="00B242AA" w:rsidRPr="00A74BD2" w:rsidRDefault="00B242AA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A74BD2">
        <w:rPr>
          <w:rFonts w:ascii="Times New Roman" w:hAnsi="Times New Roman"/>
          <w:b/>
          <w:bCs/>
          <w:sz w:val="20"/>
          <w:szCs w:val="20"/>
          <w:lang w:val="hu-HU"/>
        </w:rPr>
        <w:t xml:space="preserve">Jelentés egyéb jogi és szabályozói követelményekről </w:t>
      </w:r>
    </w:p>
    <w:p w:rsidR="00B242AA" w:rsidRPr="00A74BD2" w:rsidRDefault="00B242AA" w:rsidP="0039715A">
      <w:pPr>
        <w:spacing w:before="240"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A74BD2">
        <w:rPr>
          <w:rFonts w:ascii="Times New Roman" w:hAnsi="Times New Roman"/>
          <w:b/>
          <w:bCs/>
          <w:sz w:val="20"/>
          <w:szCs w:val="20"/>
          <w:lang w:val="hu-HU"/>
        </w:rPr>
        <w:t xml:space="preserve">Bevezetés </w:t>
      </w:r>
    </w:p>
    <w:p w:rsidR="00AF66D2" w:rsidRPr="00A74BD2" w:rsidRDefault="003605C3" w:rsidP="00461A1E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A74BD2">
        <w:rPr>
          <w:rFonts w:ascii="Times New Roman" w:hAnsi="Times New Roman"/>
          <w:sz w:val="20"/>
          <w:szCs w:val="20"/>
          <w:lang w:val="hu-HU"/>
        </w:rPr>
        <w:t>A</w:t>
      </w:r>
      <w:r w:rsidRPr="00A74BD2">
        <w:rPr>
          <w:rFonts w:ascii="Times New Roman" w:hAnsi="Times New Roman"/>
          <w:i/>
          <w:iCs/>
          <w:sz w:val="20"/>
          <w:szCs w:val="20"/>
          <w:lang w:val="hu-HU"/>
        </w:rPr>
        <w:t xml:space="preserve"> </w:t>
      </w:r>
      <w:r w:rsidRPr="00A74BD2">
        <w:rPr>
          <w:rFonts w:ascii="Times New Roman" w:hAnsi="Times New Roman"/>
          <w:i/>
          <w:sz w:val="20"/>
          <w:szCs w:val="20"/>
          <w:lang w:val="hu-HU"/>
        </w:rPr>
        <w:t>földgázellátá</w:t>
      </w:r>
      <w:r w:rsidR="00682A0F" w:rsidRPr="00A74BD2">
        <w:rPr>
          <w:rFonts w:ascii="Times New Roman" w:hAnsi="Times New Roman"/>
          <w:i/>
          <w:sz w:val="20"/>
          <w:szCs w:val="20"/>
          <w:lang w:val="hu-HU"/>
        </w:rPr>
        <w:t>sról szóló 2008. évi XL. törvény</w:t>
      </w:r>
      <w:r w:rsidRPr="00A74BD2">
        <w:rPr>
          <w:rFonts w:ascii="Times New Roman" w:hAnsi="Times New Roman"/>
          <w:i/>
          <w:sz w:val="20"/>
          <w:szCs w:val="20"/>
          <w:lang w:val="hu-HU"/>
        </w:rPr>
        <w:t xml:space="preserve"> („Törvény”) 120. paragrafus (5) bekezdésében</w:t>
      </w:r>
      <w:r w:rsidR="006542B1" w:rsidRPr="00A74BD2">
        <w:rPr>
          <w:rStyle w:val="Lbjegyzet-hivatkozs"/>
          <w:rFonts w:ascii="Times New Roman" w:hAnsi="Times New Roman"/>
          <w:i/>
          <w:sz w:val="20"/>
          <w:szCs w:val="20"/>
          <w:lang w:val="hu-HU"/>
        </w:rPr>
        <w:footnoteReference w:id="1"/>
      </w:r>
      <w:r w:rsidRPr="00A74BD2">
        <w:rPr>
          <w:rFonts w:ascii="Times New Roman" w:hAnsi="Times New Roman"/>
          <w:i/>
          <w:sz w:val="20"/>
          <w:szCs w:val="20"/>
          <w:lang w:val="hu-HU"/>
        </w:rPr>
        <w:t xml:space="preserve"> 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foglalt követelménynek eleget téve, </w:t>
      </w:r>
      <w:r w:rsidR="00AF66D2" w:rsidRPr="00A74BD2">
        <w:rPr>
          <w:rFonts w:ascii="Times New Roman" w:hAnsi="Times New Roman"/>
          <w:sz w:val="20"/>
          <w:szCs w:val="20"/>
          <w:lang w:val="hu-HU"/>
        </w:rPr>
        <w:t>a Törvény által előírt jelentéstételi köte</w:t>
      </w:r>
      <w:r w:rsidR="00E1150A" w:rsidRPr="00A74BD2">
        <w:rPr>
          <w:rFonts w:ascii="Times New Roman" w:hAnsi="Times New Roman"/>
          <w:sz w:val="20"/>
          <w:szCs w:val="20"/>
          <w:lang w:val="hu-HU"/>
        </w:rPr>
        <w:t>lezettségünknek az alábbiak szerint</w:t>
      </w:r>
      <w:r w:rsidR="00AF66D2" w:rsidRPr="00A74BD2">
        <w:rPr>
          <w:rFonts w:ascii="Times New Roman" w:hAnsi="Times New Roman"/>
          <w:sz w:val="20"/>
          <w:szCs w:val="20"/>
          <w:lang w:val="hu-HU"/>
        </w:rPr>
        <w:t xml:space="preserve"> teszünk eleget.</w:t>
      </w:r>
    </w:p>
    <w:p w:rsidR="00B242AA" w:rsidRPr="00A74BD2" w:rsidRDefault="00AF66D2" w:rsidP="00461A1E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proofErr w:type="gramStart"/>
      <w:r w:rsidRPr="00A74BD2">
        <w:rPr>
          <w:rFonts w:ascii="Times New Roman" w:hAnsi="Times New Roman"/>
          <w:sz w:val="20"/>
          <w:szCs w:val="20"/>
          <w:lang w:val="hu-HU"/>
        </w:rPr>
        <w:t>E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>lvégezt</w:t>
      </w:r>
      <w:r w:rsidR="002E0AA8" w:rsidRPr="00A74BD2">
        <w:rPr>
          <w:rFonts w:ascii="Times New Roman" w:hAnsi="Times New Roman"/>
          <w:sz w:val="20"/>
          <w:szCs w:val="20"/>
          <w:lang w:val="hu-HU"/>
        </w:rPr>
        <w:t>em(</w:t>
      </w:r>
      <w:proofErr w:type="gramEnd"/>
      <w:r w:rsidR="00B242AA" w:rsidRPr="00A74BD2">
        <w:rPr>
          <w:rFonts w:ascii="Times New Roman" w:hAnsi="Times New Roman"/>
          <w:sz w:val="20"/>
          <w:szCs w:val="20"/>
          <w:lang w:val="hu-HU"/>
        </w:rPr>
        <w:t>ük</w:t>
      </w:r>
      <w:r w:rsidR="002E0AA8" w:rsidRPr="00A74BD2">
        <w:rPr>
          <w:rFonts w:ascii="Times New Roman" w:hAnsi="Times New Roman"/>
          <w:sz w:val="20"/>
          <w:szCs w:val="20"/>
          <w:lang w:val="hu-HU"/>
        </w:rPr>
        <w:t>)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 az </w:t>
      </w:r>
      <w:r w:rsidR="002E0AA8" w:rsidRPr="00A74BD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ABC társaság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 („a Társaság”) mint </w:t>
      </w:r>
      <w:r w:rsidR="00B242AA" w:rsidRPr="00A74BD2">
        <w:rPr>
          <w:rFonts w:ascii="Times New Roman" w:hAnsi="Times New Roman"/>
          <w:i/>
          <w:sz w:val="20"/>
          <w:szCs w:val="20"/>
          <w:lang w:val="hu-HU"/>
        </w:rPr>
        <w:t>integrált földgázipari vállalkozás</w:t>
      </w:r>
      <w:r w:rsidR="00B8337D" w:rsidRPr="00A74BD2">
        <w:rPr>
          <w:rStyle w:val="Lbjegyzet-hivatkozs"/>
          <w:rFonts w:ascii="Times New Roman" w:hAnsi="Times New Roman"/>
          <w:i/>
          <w:sz w:val="20"/>
          <w:szCs w:val="20"/>
          <w:lang w:val="hu-HU"/>
        </w:rPr>
        <w:footnoteReference w:id="2"/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 201</w:t>
      </w:r>
      <w:r w:rsidR="002E0AA8" w:rsidRPr="00A74BD2">
        <w:rPr>
          <w:rFonts w:ascii="Times New Roman" w:hAnsi="Times New Roman"/>
          <w:sz w:val="20"/>
          <w:szCs w:val="20"/>
          <w:lang w:val="hu-HU"/>
        </w:rPr>
        <w:t>X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>. december 31-i fordulónapra vonatkozó</w:t>
      </w:r>
      <w:r w:rsidR="0043026F" w:rsidRPr="00A74BD2">
        <w:rPr>
          <w:rFonts w:ascii="Times New Roman" w:hAnsi="Times New Roman"/>
          <w:sz w:val="20"/>
          <w:szCs w:val="20"/>
          <w:lang w:val="hu-HU"/>
        </w:rPr>
        <w:t xml:space="preserve"> éves beszámolójának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 a kiegészítő melléklet</w:t>
      </w:r>
      <w:r w:rsidR="0043026F" w:rsidRPr="00A74BD2">
        <w:rPr>
          <w:rFonts w:ascii="Times New Roman" w:hAnsi="Times New Roman"/>
          <w:sz w:val="20"/>
          <w:szCs w:val="20"/>
          <w:lang w:val="hu-HU"/>
        </w:rPr>
        <w:t>é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>ben</w:t>
      </w:r>
      <w:r w:rsidR="003605C3" w:rsidRPr="00A74BD2">
        <w:rPr>
          <w:rFonts w:ascii="Times New Roman" w:hAnsi="Times New Roman"/>
          <w:sz w:val="20"/>
          <w:szCs w:val="20"/>
          <w:lang w:val="hu-HU"/>
        </w:rPr>
        <w:t xml:space="preserve"> közzétett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, </w:t>
      </w:r>
      <w:r w:rsidR="0043026F" w:rsidRPr="00A74BD2">
        <w:rPr>
          <w:rFonts w:ascii="Times New Roman" w:hAnsi="Times New Roman"/>
          <w:sz w:val="20"/>
          <w:szCs w:val="20"/>
          <w:lang w:val="hu-HU"/>
        </w:rPr>
        <w:t xml:space="preserve">az egyes </w:t>
      </w:r>
      <w:r w:rsidR="002540F9" w:rsidRPr="00A74BD2">
        <w:rPr>
          <w:rFonts w:ascii="Times New Roman" w:hAnsi="Times New Roman"/>
          <w:sz w:val="20"/>
          <w:szCs w:val="20"/>
          <w:lang w:val="hu-HU"/>
        </w:rPr>
        <w:t xml:space="preserve">számvitelileg </w:t>
      </w:r>
      <w:r w:rsidR="002540F9" w:rsidRPr="00A74BD2">
        <w:rPr>
          <w:rFonts w:ascii="Times New Roman" w:hAnsi="Times New Roman"/>
          <w:sz w:val="20"/>
          <w:szCs w:val="20"/>
          <w:lang w:val="hu-HU"/>
        </w:rPr>
        <w:lastRenderedPageBreak/>
        <w:t>elkülönített</w:t>
      </w:r>
      <w:r w:rsidR="0043026F" w:rsidRPr="00A74BD2">
        <w:rPr>
          <w:rFonts w:ascii="Times New Roman" w:hAnsi="Times New Roman"/>
          <w:sz w:val="20"/>
          <w:szCs w:val="20"/>
          <w:lang w:val="hu-HU"/>
        </w:rPr>
        <w:t xml:space="preserve"> tevékenységekre vonatkozó 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önálló </w:t>
      </w:r>
      <w:r w:rsidR="0043026F" w:rsidRPr="00A74BD2">
        <w:rPr>
          <w:rFonts w:ascii="Times New Roman" w:hAnsi="Times New Roman"/>
          <w:sz w:val="20"/>
          <w:szCs w:val="20"/>
          <w:lang w:val="hu-HU"/>
        </w:rPr>
        <w:t xml:space="preserve">mérlegek és önálló </w:t>
      </w:r>
      <w:proofErr w:type="spellStart"/>
      <w:r w:rsidR="0043026F" w:rsidRPr="00A74BD2">
        <w:rPr>
          <w:rFonts w:ascii="Times New Roman" w:hAnsi="Times New Roman"/>
          <w:sz w:val="20"/>
          <w:szCs w:val="20"/>
          <w:lang w:val="hu-HU"/>
        </w:rPr>
        <w:t>eredménykimutatás</w:t>
      </w:r>
      <w:r w:rsidR="002540F9" w:rsidRPr="00A74BD2">
        <w:rPr>
          <w:rFonts w:ascii="Times New Roman" w:hAnsi="Times New Roman"/>
          <w:sz w:val="20"/>
          <w:szCs w:val="20"/>
          <w:lang w:val="hu-HU"/>
        </w:rPr>
        <w:t>ok</w:t>
      </w:r>
      <w:proofErr w:type="spellEnd"/>
      <w:r w:rsidR="0043026F" w:rsidRPr="00A74BD2">
        <w:rPr>
          <w:rFonts w:ascii="Times New Roman" w:hAnsi="Times New Roman"/>
          <w:sz w:val="20"/>
          <w:szCs w:val="20"/>
          <w:lang w:val="hu-HU"/>
        </w:rPr>
        <w:t xml:space="preserve"> (a „Tevékenységi Ki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>mutatás</w:t>
      </w:r>
      <w:r w:rsidR="0043026F" w:rsidRPr="00A74BD2">
        <w:rPr>
          <w:rFonts w:ascii="Times New Roman" w:hAnsi="Times New Roman"/>
          <w:sz w:val="20"/>
          <w:szCs w:val="20"/>
          <w:lang w:val="hu-HU"/>
        </w:rPr>
        <w:t>ok</w:t>
      </w:r>
      <w:r w:rsidR="002540F9" w:rsidRPr="00A74BD2">
        <w:rPr>
          <w:rFonts w:ascii="Times New Roman" w:hAnsi="Times New Roman"/>
          <w:sz w:val="20"/>
          <w:szCs w:val="20"/>
          <w:lang w:val="hu-HU"/>
        </w:rPr>
        <w:t xml:space="preserve">”) átvilágítását. Az egyes tevékenységek 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>sz</w:t>
      </w:r>
      <w:r w:rsidR="002540F9" w:rsidRPr="00A74BD2">
        <w:rPr>
          <w:rFonts w:ascii="Times New Roman" w:hAnsi="Times New Roman"/>
          <w:sz w:val="20"/>
          <w:szCs w:val="20"/>
          <w:lang w:val="hu-HU"/>
        </w:rPr>
        <w:t>ámviteli szétválasztási szabályaina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>k kidolgozása és alkalmazása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a Törvénnyel összhangban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, valamint az egyes tevékenységek közötti tranzakciók árazásának az ide vonatkozó jogszabályok és belső szabályzatok szerinti elvégzése, </w:t>
      </w:r>
      <w:r w:rsidR="002540F9" w:rsidRPr="00A74BD2">
        <w:rPr>
          <w:rFonts w:ascii="Times New Roman" w:hAnsi="Times New Roman"/>
          <w:sz w:val="20"/>
          <w:szCs w:val="20"/>
          <w:lang w:val="hu-HU"/>
        </w:rPr>
        <w:t xml:space="preserve">valamint 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540F9" w:rsidRPr="00A74BD2">
        <w:rPr>
          <w:rFonts w:ascii="Times New Roman" w:hAnsi="Times New Roman"/>
          <w:sz w:val="20"/>
          <w:szCs w:val="20"/>
          <w:lang w:val="hu-HU"/>
        </w:rPr>
        <w:t xml:space="preserve">Tevékenységi 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>Kimutatás</w:t>
      </w:r>
      <w:r w:rsidR="002540F9" w:rsidRPr="00A74BD2">
        <w:rPr>
          <w:rFonts w:ascii="Times New Roman" w:hAnsi="Times New Roman"/>
          <w:sz w:val="20"/>
          <w:szCs w:val="20"/>
          <w:lang w:val="hu-HU"/>
        </w:rPr>
        <w:t>oknak a</w:t>
      </w:r>
      <w:r w:rsidR="005A1142" w:rsidRPr="00A74BD2">
        <w:rPr>
          <w:rFonts w:ascii="Times New Roman" w:hAnsi="Times New Roman"/>
          <w:i/>
          <w:iCs/>
          <w:sz w:val="20"/>
          <w:szCs w:val="20"/>
          <w:lang w:val="hu-HU"/>
        </w:rPr>
        <w:t xml:space="preserve"> </w:t>
      </w:r>
      <w:r w:rsidR="00682A0F" w:rsidRPr="00A74BD2">
        <w:rPr>
          <w:rFonts w:ascii="Times New Roman" w:hAnsi="Times New Roman"/>
          <w:i/>
          <w:iCs/>
          <w:sz w:val="20"/>
          <w:szCs w:val="20"/>
          <w:lang w:val="hu-HU"/>
        </w:rPr>
        <w:t>T</w:t>
      </w:r>
      <w:r w:rsidR="00B242AA" w:rsidRPr="00A74BD2">
        <w:rPr>
          <w:rFonts w:ascii="Times New Roman" w:hAnsi="Times New Roman"/>
          <w:i/>
          <w:sz w:val="20"/>
          <w:szCs w:val="20"/>
          <w:lang w:val="hu-HU"/>
        </w:rPr>
        <w:t>örvény 120. paragrafu</w:t>
      </w:r>
      <w:r w:rsidR="003009B2" w:rsidRPr="00A74BD2">
        <w:rPr>
          <w:rFonts w:ascii="Times New Roman" w:hAnsi="Times New Roman"/>
          <w:i/>
          <w:sz w:val="20"/>
          <w:szCs w:val="20"/>
          <w:lang w:val="hu-HU"/>
        </w:rPr>
        <w:t>sában</w:t>
      </w:r>
      <w:r w:rsidR="00BD3548" w:rsidRPr="00A74BD2">
        <w:rPr>
          <w:rStyle w:val="Lbjegyzet-hivatkozs"/>
          <w:rFonts w:ascii="Times New Roman" w:hAnsi="Times New Roman"/>
          <w:sz w:val="20"/>
          <w:szCs w:val="20"/>
          <w:lang w:val="hu-HU"/>
        </w:rPr>
        <w:footnoteReference w:id="3"/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45503D" w:rsidRPr="00A74BD2">
        <w:rPr>
          <w:rFonts w:ascii="Times New Roman" w:hAnsi="Times New Roman"/>
          <w:sz w:val="20"/>
          <w:szCs w:val="20"/>
          <w:lang w:val="hu-HU"/>
        </w:rPr>
        <w:t xml:space="preserve">foglaltak 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>szerinti elkészítése a Társaság vezetésének felelőssége. A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z én (A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 mi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)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  <w:proofErr w:type="gramStart"/>
      <w:r w:rsidR="00B242AA" w:rsidRPr="00A74BD2">
        <w:rPr>
          <w:rFonts w:ascii="Times New Roman" w:hAnsi="Times New Roman"/>
          <w:sz w:val="20"/>
          <w:szCs w:val="20"/>
          <w:lang w:val="hu-HU"/>
        </w:rPr>
        <w:t>felelősség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em(</w:t>
      </w:r>
      <w:proofErr w:type="spellStart"/>
      <w:proofErr w:type="gramEnd"/>
      <w:r w:rsidR="00B242AA" w:rsidRPr="00A74BD2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4F1586" w:rsidRPr="00A74BD2">
        <w:rPr>
          <w:rFonts w:ascii="Times New Roman" w:hAnsi="Times New Roman"/>
          <w:sz w:val="20"/>
          <w:szCs w:val="20"/>
          <w:lang w:val="hu-HU"/>
        </w:rPr>
        <w:t>)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 a </w:t>
      </w:r>
      <w:r w:rsidR="002540F9" w:rsidRPr="00A74BD2">
        <w:rPr>
          <w:rFonts w:ascii="Times New Roman" w:hAnsi="Times New Roman"/>
          <w:sz w:val="20"/>
          <w:szCs w:val="20"/>
          <w:lang w:val="hu-HU"/>
        </w:rPr>
        <w:t xml:space="preserve">Tevékenységi 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>Kimutatás</w:t>
      </w:r>
      <w:r w:rsidR="002540F9" w:rsidRPr="00A74BD2">
        <w:rPr>
          <w:rFonts w:ascii="Times New Roman" w:hAnsi="Times New Roman"/>
          <w:sz w:val="20"/>
          <w:szCs w:val="20"/>
          <w:lang w:val="hu-HU"/>
        </w:rPr>
        <w:t>ok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ra vonatkozó következtetés megfogalmazása az elvégzett átvilágítás alapján. </w:t>
      </w:r>
    </w:p>
    <w:p w:rsidR="00B242AA" w:rsidRPr="00A74BD2" w:rsidRDefault="00B242AA" w:rsidP="002E0AA8">
      <w:pPr>
        <w:spacing w:before="240" w:after="0" w:line="280" w:lineRule="exact"/>
        <w:rPr>
          <w:rFonts w:ascii="Times New Roman" w:hAnsi="Times New Roman"/>
          <w:sz w:val="20"/>
          <w:szCs w:val="20"/>
          <w:lang w:val="hu-HU"/>
        </w:rPr>
      </w:pPr>
      <w:r w:rsidRPr="00A74BD2">
        <w:rPr>
          <w:rFonts w:ascii="Times New Roman" w:hAnsi="Times New Roman"/>
          <w:b/>
          <w:bCs/>
          <w:sz w:val="20"/>
          <w:szCs w:val="20"/>
          <w:lang w:val="hu-HU"/>
        </w:rPr>
        <w:t>Az átvilágítás hatóköre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:rsidR="00B242AA" w:rsidRPr="00A74BD2" w:rsidRDefault="00B242AA" w:rsidP="000D0232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proofErr w:type="gramStart"/>
      <w:r w:rsidRPr="00A74BD2">
        <w:rPr>
          <w:rFonts w:ascii="Times New Roman" w:hAnsi="Times New Roman"/>
          <w:sz w:val="20"/>
          <w:szCs w:val="20"/>
          <w:lang w:val="hu-HU"/>
        </w:rPr>
        <w:t>Átvilágítás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omat(</w:t>
      </w:r>
      <w:proofErr w:type="spellStart"/>
      <w:proofErr w:type="gramEnd"/>
      <w:r w:rsidRPr="00A74BD2">
        <w:rPr>
          <w:rFonts w:ascii="Times New Roman" w:hAnsi="Times New Roman"/>
          <w:sz w:val="20"/>
          <w:szCs w:val="20"/>
          <w:lang w:val="hu-HU"/>
        </w:rPr>
        <w:t>unkat</w:t>
      </w:r>
      <w:proofErr w:type="spellEnd"/>
      <w:r w:rsidR="004F1586" w:rsidRPr="00A74BD2">
        <w:rPr>
          <w:rFonts w:ascii="Times New Roman" w:hAnsi="Times New Roman"/>
          <w:sz w:val="20"/>
          <w:szCs w:val="20"/>
          <w:lang w:val="hu-HU"/>
        </w:rPr>
        <w:t>)</w:t>
      </w:r>
      <w:r w:rsidR="006B6341" w:rsidRPr="00A74BD2">
        <w:rPr>
          <w:rFonts w:ascii="Times New Roman" w:hAnsi="Times New Roman"/>
          <w:sz w:val="20"/>
          <w:szCs w:val="20"/>
          <w:lang w:val="hu-HU"/>
        </w:rPr>
        <w:t xml:space="preserve"> a </w:t>
      </w:r>
      <w:r w:rsidR="0016119C" w:rsidRPr="00F82F99">
        <w:rPr>
          <w:rFonts w:ascii="Times New Roman" w:hAnsi="Times New Roman"/>
          <w:sz w:val="20"/>
          <w:szCs w:val="20"/>
          <w:lang w:val="hu-HU"/>
        </w:rPr>
        <w:t>2410</w:t>
      </w:r>
      <w:r w:rsidRPr="00F82F99">
        <w:rPr>
          <w:rFonts w:ascii="Times New Roman" w:hAnsi="Times New Roman"/>
          <w:sz w:val="20"/>
          <w:szCs w:val="20"/>
          <w:lang w:val="hu-HU"/>
        </w:rPr>
        <w:t>.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témaszámú, „Az évközi pénzügyi információknak a gazdálkodó független könyvvizsgálója által végrehajtott átvilágítása” című magyar Nemzeti Átvilágítási Megbízásokra Vonatkozó Standard alapján hajtott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am(</w:t>
      </w:r>
      <w:proofErr w:type="spellStart"/>
      <w:r w:rsidRPr="00A74BD2">
        <w:rPr>
          <w:rFonts w:ascii="Times New Roman" w:hAnsi="Times New Roman"/>
          <w:sz w:val="20"/>
          <w:szCs w:val="20"/>
          <w:lang w:val="hu-HU"/>
        </w:rPr>
        <w:t>uk</w:t>
      </w:r>
      <w:proofErr w:type="spellEnd"/>
      <w:r w:rsidR="004F1586" w:rsidRPr="00A74BD2">
        <w:rPr>
          <w:rFonts w:ascii="Times New Roman" w:hAnsi="Times New Roman"/>
          <w:sz w:val="20"/>
          <w:szCs w:val="20"/>
          <w:lang w:val="hu-HU"/>
        </w:rPr>
        <w:t>)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végre</w:t>
      </w:r>
      <w:r w:rsidR="006B6341" w:rsidRPr="00A74BD2">
        <w:rPr>
          <w:rFonts w:ascii="Times New Roman" w:hAnsi="Times New Roman"/>
          <w:sz w:val="20"/>
          <w:szCs w:val="20"/>
          <w:lang w:val="hu-HU"/>
        </w:rPr>
        <w:t xml:space="preserve">. </w:t>
      </w:r>
      <w:r w:rsidR="003605C3" w:rsidRPr="00A74BD2">
        <w:rPr>
          <w:rFonts w:ascii="Times New Roman" w:hAnsi="Times New Roman"/>
          <w:sz w:val="20"/>
          <w:szCs w:val="20"/>
          <w:lang w:val="hu-HU"/>
        </w:rPr>
        <w:t>Pénzügyi kimutatásoknak a</w:t>
      </w:r>
      <w:r w:rsidR="006B6341" w:rsidRPr="00A74BD2">
        <w:rPr>
          <w:rFonts w:ascii="Times New Roman" w:hAnsi="Times New Roman"/>
          <w:sz w:val="20"/>
          <w:szCs w:val="20"/>
          <w:lang w:val="hu-HU"/>
        </w:rPr>
        <w:t>z e standarddal összhangban végzett átvilágítás</w:t>
      </w:r>
      <w:r w:rsidR="003605C3" w:rsidRPr="00A74BD2">
        <w:rPr>
          <w:rFonts w:ascii="Times New Roman" w:hAnsi="Times New Roman"/>
          <w:sz w:val="20"/>
          <w:szCs w:val="20"/>
          <w:lang w:val="hu-HU"/>
        </w:rPr>
        <w:t>a</w:t>
      </w:r>
      <w:r w:rsidR="006B6341" w:rsidRPr="00A74BD2">
        <w:rPr>
          <w:rFonts w:ascii="Times New Roman" w:hAnsi="Times New Roman"/>
          <w:sz w:val="20"/>
          <w:szCs w:val="20"/>
          <w:lang w:val="hu-HU"/>
        </w:rPr>
        <w:t xml:space="preserve"> korlátozott bizonyosságot nyújtó </w:t>
      </w:r>
      <w:r w:rsidR="003605C3" w:rsidRPr="00A74BD2">
        <w:rPr>
          <w:rFonts w:ascii="Times New Roman" w:hAnsi="Times New Roman"/>
          <w:sz w:val="20"/>
          <w:szCs w:val="20"/>
          <w:lang w:val="hu-HU"/>
        </w:rPr>
        <w:t>következtetéshez nyújt alapot</w:t>
      </w:r>
      <w:r w:rsidR="006B6341" w:rsidRPr="00A74BD2">
        <w:rPr>
          <w:rFonts w:ascii="Times New Roman" w:hAnsi="Times New Roman"/>
          <w:sz w:val="20"/>
          <w:szCs w:val="20"/>
          <w:lang w:val="hu-HU"/>
        </w:rPr>
        <w:t xml:space="preserve">. A </w:t>
      </w:r>
      <w:r w:rsidR="001C101D" w:rsidRPr="00A74BD2">
        <w:rPr>
          <w:rFonts w:ascii="Times New Roman" w:hAnsi="Times New Roman"/>
          <w:sz w:val="20"/>
          <w:szCs w:val="20"/>
          <w:lang w:val="hu-HU"/>
        </w:rPr>
        <w:t xml:space="preserve">Tevékenységi </w:t>
      </w:r>
      <w:r w:rsidRPr="00A74BD2">
        <w:rPr>
          <w:rFonts w:ascii="Times New Roman" w:hAnsi="Times New Roman"/>
          <w:sz w:val="20"/>
          <w:szCs w:val="20"/>
          <w:lang w:val="hu-HU"/>
        </w:rPr>
        <w:t>Kimutatás</w:t>
      </w:r>
      <w:r w:rsidR="001C101D" w:rsidRPr="00A74BD2">
        <w:rPr>
          <w:rFonts w:ascii="Times New Roman" w:hAnsi="Times New Roman"/>
          <w:sz w:val="20"/>
          <w:szCs w:val="20"/>
          <w:lang w:val="hu-HU"/>
        </w:rPr>
        <w:t>ok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átvilágítása elsősorban a pénzügyi és számviteli ügyekért felelős </w:t>
      </w:r>
      <w:r w:rsidR="003605C3" w:rsidRPr="00A74BD2">
        <w:rPr>
          <w:rFonts w:ascii="Times New Roman" w:hAnsi="Times New Roman"/>
          <w:sz w:val="20"/>
          <w:szCs w:val="20"/>
          <w:lang w:val="hu-HU"/>
        </w:rPr>
        <w:t>vezető</w:t>
      </w:r>
      <w:r w:rsidR="00682A0F"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74BD2">
        <w:rPr>
          <w:rFonts w:ascii="Times New Roman" w:hAnsi="Times New Roman"/>
          <w:sz w:val="20"/>
          <w:szCs w:val="20"/>
          <w:lang w:val="hu-HU"/>
        </w:rPr>
        <w:t>személyektől</w:t>
      </w:r>
      <w:r w:rsidR="00682A0F" w:rsidRPr="00A74BD2">
        <w:rPr>
          <w:rFonts w:ascii="Times New Roman" w:hAnsi="Times New Roman"/>
          <w:sz w:val="20"/>
          <w:szCs w:val="20"/>
          <w:lang w:val="hu-HU"/>
        </w:rPr>
        <w:t xml:space="preserve"> és más munkatársaktól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1C101D" w:rsidRPr="00A74BD2">
        <w:rPr>
          <w:rFonts w:ascii="Times New Roman" w:hAnsi="Times New Roman"/>
          <w:sz w:val="20"/>
          <w:szCs w:val="20"/>
          <w:lang w:val="hu-HU"/>
        </w:rPr>
        <w:t>való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információkérésből, valamint elemző és egyéb átvilágítási eljárások </w:t>
      </w:r>
      <w:r w:rsidR="00682A0F" w:rsidRPr="00A74BD2">
        <w:rPr>
          <w:rFonts w:ascii="Times New Roman" w:hAnsi="Times New Roman"/>
          <w:sz w:val="20"/>
          <w:szCs w:val="20"/>
          <w:lang w:val="hu-HU"/>
        </w:rPr>
        <w:t>alkalmazá</w:t>
      </w:r>
      <w:r w:rsidR="001C101D" w:rsidRPr="00A74BD2">
        <w:rPr>
          <w:rFonts w:ascii="Times New Roman" w:hAnsi="Times New Roman"/>
          <w:sz w:val="20"/>
          <w:szCs w:val="20"/>
          <w:lang w:val="hu-HU"/>
        </w:rPr>
        <w:t>sá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ból áll. Az átvilágítás </w:t>
      </w:r>
      <w:r w:rsidR="00682A0F" w:rsidRPr="00A74BD2">
        <w:rPr>
          <w:rFonts w:ascii="Times New Roman" w:hAnsi="Times New Roman"/>
          <w:sz w:val="20"/>
          <w:szCs w:val="20"/>
          <w:lang w:val="hu-HU"/>
        </w:rPr>
        <w:t xml:space="preserve">során végrehajtott eljárások a hatókörükben 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lényegesen </w:t>
      </w:r>
      <w:r w:rsidR="00682A0F" w:rsidRPr="00A74BD2">
        <w:rPr>
          <w:rFonts w:ascii="Times New Roman" w:hAnsi="Times New Roman"/>
          <w:sz w:val="20"/>
          <w:szCs w:val="20"/>
          <w:lang w:val="hu-HU"/>
        </w:rPr>
        <w:t>szűkebbek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, mint a </w:t>
      </w:r>
      <w:r w:rsidR="00B8337D" w:rsidRPr="00A74BD2">
        <w:rPr>
          <w:rFonts w:ascii="Times New Roman" w:hAnsi="Times New Roman"/>
          <w:sz w:val="20"/>
          <w:szCs w:val="20"/>
          <w:lang w:val="hu-HU"/>
        </w:rPr>
        <w:t>Magyar Nemzeti Könyvvizsgálati S</w:t>
      </w:r>
      <w:r w:rsidRPr="00A74BD2">
        <w:rPr>
          <w:rFonts w:ascii="Times New Roman" w:hAnsi="Times New Roman"/>
          <w:sz w:val="20"/>
          <w:szCs w:val="20"/>
          <w:lang w:val="hu-HU"/>
        </w:rPr>
        <w:t>tandardokkal összhangban végzett könyvvizsgálat</w:t>
      </w:r>
      <w:r w:rsidR="00682A0F" w:rsidRPr="00A74BD2">
        <w:rPr>
          <w:rFonts w:ascii="Times New Roman" w:hAnsi="Times New Roman"/>
          <w:sz w:val="20"/>
          <w:szCs w:val="20"/>
          <w:lang w:val="hu-HU"/>
        </w:rPr>
        <w:t>i eljárások</w:t>
      </w:r>
      <w:r w:rsidRPr="00A74BD2">
        <w:rPr>
          <w:rFonts w:ascii="Times New Roman" w:hAnsi="Times New Roman"/>
          <w:sz w:val="20"/>
          <w:szCs w:val="20"/>
          <w:lang w:val="hu-HU"/>
        </w:rPr>
        <w:t>, és ennek következtében nem teszi</w:t>
      </w:r>
      <w:r w:rsidR="00682A0F" w:rsidRPr="00A74BD2">
        <w:rPr>
          <w:rFonts w:ascii="Times New Roman" w:hAnsi="Times New Roman"/>
          <w:sz w:val="20"/>
          <w:szCs w:val="20"/>
          <w:lang w:val="hu-HU"/>
        </w:rPr>
        <w:t>k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lehetővé </w:t>
      </w:r>
      <w:proofErr w:type="gramStart"/>
      <w:r w:rsidRPr="00A74BD2">
        <w:rPr>
          <w:rFonts w:ascii="Times New Roman" w:hAnsi="Times New Roman"/>
          <w:sz w:val="20"/>
          <w:szCs w:val="20"/>
          <w:lang w:val="hu-HU"/>
        </w:rPr>
        <w:t>szám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omra(</w:t>
      </w:r>
      <w:proofErr w:type="spellStart"/>
      <w:proofErr w:type="gramEnd"/>
      <w:r w:rsidRPr="00A74BD2">
        <w:rPr>
          <w:rFonts w:ascii="Times New Roman" w:hAnsi="Times New Roman"/>
          <w:sz w:val="20"/>
          <w:szCs w:val="20"/>
          <w:lang w:val="hu-HU"/>
        </w:rPr>
        <w:t>unkra</w:t>
      </w:r>
      <w:proofErr w:type="spellEnd"/>
      <w:r w:rsidR="004F1586" w:rsidRPr="00A74BD2">
        <w:rPr>
          <w:rFonts w:ascii="Times New Roman" w:hAnsi="Times New Roman"/>
          <w:sz w:val="20"/>
          <w:szCs w:val="20"/>
          <w:lang w:val="hu-HU"/>
        </w:rPr>
        <w:t>)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, hogy </w:t>
      </w:r>
      <w:r w:rsidR="009B0EAF" w:rsidRPr="00A74BD2">
        <w:rPr>
          <w:rFonts w:ascii="Times New Roman" w:hAnsi="Times New Roman"/>
          <w:sz w:val="20"/>
          <w:szCs w:val="20"/>
          <w:lang w:val="hu-HU"/>
        </w:rPr>
        <w:t>könyvvizsgálattal egyenértékű</w:t>
      </w:r>
      <w:r w:rsidR="00AB764E"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74BD2">
        <w:rPr>
          <w:rFonts w:ascii="Times New Roman" w:hAnsi="Times New Roman"/>
          <w:sz w:val="20"/>
          <w:szCs w:val="20"/>
          <w:lang w:val="hu-HU"/>
        </w:rPr>
        <w:t>bizonyosságot szerezz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ek(</w:t>
      </w:r>
      <w:proofErr w:type="spellStart"/>
      <w:r w:rsidRPr="00A74BD2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4F1586" w:rsidRPr="00A74BD2">
        <w:rPr>
          <w:rFonts w:ascii="Times New Roman" w:hAnsi="Times New Roman"/>
          <w:sz w:val="20"/>
          <w:szCs w:val="20"/>
          <w:lang w:val="hu-HU"/>
        </w:rPr>
        <w:t>)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9B0EAF" w:rsidRPr="00A74BD2">
        <w:rPr>
          <w:rFonts w:ascii="Times New Roman" w:hAnsi="Times New Roman"/>
          <w:sz w:val="20"/>
          <w:szCs w:val="20"/>
          <w:lang w:val="hu-HU"/>
        </w:rPr>
        <w:t xml:space="preserve">a Tevékenységi Kimutatásokkal kapcsolatos </w:t>
      </w:r>
      <w:r w:rsidRPr="00A74BD2">
        <w:rPr>
          <w:rFonts w:ascii="Times New Roman" w:hAnsi="Times New Roman"/>
          <w:sz w:val="20"/>
          <w:szCs w:val="20"/>
          <w:lang w:val="hu-HU"/>
        </w:rPr>
        <w:t>valamennyi olyan jelentős ügyről, amelyet egy könyvvizsgálat során azonosítan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ék(</w:t>
      </w:r>
      <w:proofErr w:type="spellStart"/>
      <w:r w:rsidRPr="00A74BD2">
        <w:rPr>
          <w:rFonts w:ascii="Times New Roman" w:hAnsi="Times New Roman"/>
          <w:sz w:val="20"/>
          <w:szCs w:val="20"/>
          <w:lang w:val="hu-HU"/>
        </w:rPr>
        <w:t>ánk</w:t>
      </w:r>
      <w:proofErr w:type="spellEnd"/>
      <w:r w:rsidR="004F1586" w:rsidRPr="00A74BD2">
        <w:rPr>
          <w:rFonts w:ascii="Times New Roman" w:hAnsi="Times New Roman"/>
          <w:sz w:val="20"/>
          <w:szCs w:val="20"/>
          <w:lang w:val="hu-HU"/>
        </w:rPr>
        <w:t>)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. Ennek megfelelően </w:t>
      </w:r>
      <w:r w:rsidR="001C101D" w:rsidRPr="00A74BD2">
        <w:rPr>
          <w:rFonts w:ascii="Times New Roman" w:hAnsi="Times New Roman"/>
          <w:sz w:val="20"/>
          <w:szCs w:val="20"/>
          <w:lang w:val="hu-HU"/>
        </w:rPr>
        <w:t xml:space="preserve">a Tevékenységi Kimutatásokról 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nem </w:t>
      </w:r>
      <w:proofErr w:type="gramStart"/>
      <w:r w:rsidRPr="00A74BD2">
        <w:rPr>
          <w:rFonts w:ascii="Times New Roman" w:hAnsi="Times New Roman"/>
          <w:sz w:val="20"/>
          <w:szCs w:val="20"/>
          <w:lang w:val="hu-HU"/>
        </w:rPr>
        <w:t>bocsát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proofErr w:type="gramEnd"/>
      <w:r w:rsidRPr="00A74BD2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4F1586" w:rsidRPr="00A74BD2">
        <w:rPr>
          <w:rFonts w:ascii="Times New Roman" w:hAnsi="Times New Roman"/>
          <w:sz w:val="20"/>
          <w:szCs w:val="20"/>
          <w:lang w:val="hu-HU"/>
        </w:rPr>
        <w:t>)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ki könyvvizsgálói véleményt. </w:t>
      </w:r>
    </w:p>
    <w:p w:rsidR="00B242AA" w:rsidRPr="00A74BD2" w:rsidRDefault="00B242AA" w:rsidP="002E0AA8">
      <w:pPr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A74BD2">
        <w:rPr>
          <w:rFonts w:ascii="Times New Roman" w:hAnsi="Times New Roman"/>
          <w:b/>
          <w:bCs/>
          <w:sz w:val="20"/>
          <w:szCs w:val="20"/>
          <w:lang w:val="hu-HU"/>
        </w:rPr>
        <w:t xml:space="preserve">Következtetés </w:t>
      </w:r>
    </w:p>
    <w:p w:rsidR="00B242AA" w:rsidRPr="002E0AA8" w:rsidRDefault="00B242AA" w:rsidP="000D0232">
      <w:pPr>
        <w:suppressAutoHyphens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proofErr w:type="gramStart"/>
      <w:r w:rsidRPr="00A74BD2">
        <w:rPr>
          <w:rFonts w:ascii="Times New Roman" w:hAnsi="Times New Roman"/>
          <w:sz w:val="20"/>
          <w:szCs w:val="20"/>
          <w:lang w:val="hu-HU"/>
        </w:rPr>
        <w:t>Átvilágítás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om(</w:t>
      </w:r>
      <w:proofErr w:type="spellStart"/>
      <w:r w:rsidRPr="00A74BD2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4F1586" w:rsidRPr="00A74BD2">
        <w:rPr>
          <w:rFonts w:ascii="Times New Roman" w:hAnsi="Times New Roman"/>
          <w:sz w:val="20"/>
          <w:szCs w:val="20"/>
          <w:lang w:val="hu-HU"/>
        </w:rPr>
        <w:t>)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alapján nem jutott </w:t>
      </w:r>
      <w:r w:rsidR="001C101D" w:rsidRPr="00A74BD2">
        <w:rPr>
          <w:rFonts w:ascii="Times New Roman" w:hAnsi="Times New Roman"/>
          <w:sz w:val="20"/>
          <w:szCs w:val="20"/>
          <w:lang w:val="hu-HU"/>
        </w:rPr>
        <w:t xml:space="preserve">a </w:t>
      </w:r>
      <w:r w:rsidRPr="00A74BD2">
        <w:rPr>
          <w:rFonts w:ascii="Times New Roman" w:hAnsi="Times New Roman"/>
          <w:sz w:val="20"/>
          <w:szCs w:val="20"/>
          <w:lang w:val="hu-HU"/>
        </w:rPr>
        <w:t>tudomás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omra(</w:t>
      </w:r>
      <w:proofErr w:type="spellStart"/>
      <w:r w:rsidRPr="00A74BD2">
        <w:rPr>
          <w:rFonts w:ascii="Times New Roman" w:hAnsi="Times New Roman"/>
          <w:sz w:val="20"/>
          <w:szCs w:val="20"/>
          <w:lang w:val="hu-HU"/>
        </w:rPr>
        <w:t>unkra</w:t>
      </w:r>
      <w:proofErr w:type="spellEnd"/>
      <w:r w:rsidR="004F1586" w:rsidRPr="00A74BD2">
        <w:rPr>
          <w:rFonts w:ascii="Times New Roman" w:hAnsi="Times New Roman"/>
          <w:sz w:val="20"/>
          <w:szCs w:val="20"/>
          <w:lang w:val="hu-HU"/>
        </w:rPr>
        <w:t>)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olyan tény, amely arra a meggyőződésre vezetett volna 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engem(</w:t>
      </w:r>
      <w:r w:rsidRPr="00A74BD2">
        <w:rPr>
          <w:rFonts w:ascii="Times New Roman" w:hAnsi="Times New Roman"/>
          <w:sz w:val="20"/>
          <w:szCs w:val="20"/>
          <w:lang w:val="hu-HU"/>
        </w:rPr>
        <w:t>bennünket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)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, hogy a mellékelt </w:t>
      </w:r>
      <w:r w:rsidR="007C14CF" w:rsidRPr="00A74BD2">
        <w:rPr>
          <w:rFonts w:ascii="Times New Roman" w:hAnsi="Times New Roman"/>
          <w:sz w:val="20"/>
          <w:szCs w:val="20"/>
          <w:lang w:val="hu-HU"/>
        </w:rPr>
        <w:t xml:space="preserve">Tevékenységi </w:t>
      </w:r>
      <w:r w:rsidRPr="00A74BD2">
        <w:rPr>
          <w:rFonts w:ascii="Times New Roman" w:hAnsi="Times New Roman"/>
          <w:sz w:val="20"/>
          <w:szCs w:val="20"/>
          <w:lang w:val="hu-HU"/>
        </w:rPr>
        <w:t>Kimutatás</w:t>
      </w:r>
      <w:r w:rsidR="007C14CF" w:rsidRPr="00A74BD2">
        <w:rPr>
          <w:rFonts w:ascii="Times New Roman" w:hAnsi="Times New Roman"/>
          <w:sz w:val="20"/>
          <w:szCs w:val="20"/>
          <w:lang w:val="hu-HU"/>
        </w:rPr>
        <w:t>ok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nem a földgá</w:t>
      </w:r>
      <w:r w:rsidR="002A4183" w:rsidRPr="00A74BD2">
        <w:rPr>
          <w:rFonts w:ascii="Times New Roman" w:hAnsi="Times New Roman"/>
          <w:sz w:val="20"/>
          <w:szCs w:val="20"/>
          <w:lang w:val="hu-HU"/>
        </w:rPr>
        <w:t xml:space="preserve">zellátásról szóló 2008. évi XL. </w:t>
      </w:r>
      <w:r w:rsidRPr="00A74BD2">
        <w:rPr>
          <w:rFonts w:ascii="Times New Roman" w:hAnsi="Times New Roman"/>
          <w:sz w:val="20"/>
          <w:szCs w:val="20"/>
          <w:lang w:val="hu-HU"/>
        </w:rPr>
        <w:t>törvény</w:t>
      </w:r>
      <w:r w:rsidR="007C14CF" w:rsidRPr="00A74BD2">
        <w:rPr>
          <w:rFonts w:ascii="Times New Roman" w:hAnsi="Times New Roman"/>
          <w:sz w:val="20"/>
          <w:szCs w:val="20"/>
          <w:lang w:val="hu-HU"/>
        </w:rPr>
        <w:t xml:space="preserve"> 120. paragrafusában</w:t>
      </w:r>
      <w:r w:rsidR="007C14CF" w:rsidRPr="00A74BD2">
        <w:rPr>
          <w:rStyle w:val="Lbjegyzet-hivatkozs"/>
          <w:rFonts w:ascii="Times New Roman" w:hAnsi="Times New Roman"/>
          <w:sz w:val="20"/>
          <w:szCs w:val="20"/>
          <w:lang w:val="hu-HU"/>
        </w:rPr>
        <w:footnoteReference w:id="4"/>
      </w:r>
      <w:r w:rsidR="00DE1A36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CB7ED3" w:rsidRPr="00A74BD2">
        <w:rPr>
          <w:rFonts w:ascii="Times New Roman" w:hAnsi="Times New Roman"/>
          <w:sz w:val="20"/>
          <w:szCs w:val="20"/>
          <w:lang w:val="hu-HU"/>
        </w:rPr>
        <w:t xml:space="preserve">foglaltakkal összhangban </w:t>
      </w:r>
      <w:r w:rsidR="007C14CF" w:rsidRPr="00A74BD2">
        <w:rPr>
          <w:rFonts w:ascii="Times New Roman" w:hAnsi="Times New Roman"/>
          <w:sz w:val="20"/>
          <w:szCs w:val="20"/>
          <w:lang w:val="hu-HU"/>
        </w:rPr>
        <w:t>kidolgozott</w:t>
      </w:r>
      <w:r w:rsidR="00C300BC" w:rsidRPr="00A74BD2">
        <w:rPr>
          <w:rFonts w:ascii="Times New Roman" w:hAnsi="Times New Roman"/>
          <w:sz w:val="20"/>
          <w:szCs w:val="20"/>
          <w:lang w:val="hu-HU"/>
        </w:rPr>
        <w:t>,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CB7ED3" w:rsidRPr="00A74BD2">
        <w:rPr>
          <w:rFonts w:ascii="Times New Roman" w:hAnsi="Times New Roman"/>
          <w:sz w:val="20"/>
          <w:szCs w:val="20"/>
          <w:lang w:val="hu-HU"/>
        </w:rPr>
        <w:t xml:space="preserve">megfelelő </w:t>
      </w:r>
      <w:r w:rsidRPr="00A74BD2">
        <w:rPr>
          <w:rFonts w:ascii="Times New Roman" w:hAnsi="Times New Roman"/>
          <w:sz w:val="20"/>
          <w:szCs w:val="20"/>
          <w:lang w:val="hu-HU"/>
        </w:rPr>
        <w:t>számviteli szétválasztási szabályok alkalmazásával készült</w:t>
      </w:r>
      <w:r w:rsidR="007C14CF" w:rsidRPr="00A74BD2">
        <w:rPr>
          <w:rFonts w:ascii="Times New Roman" w:hAnsi="Times New Roman"/>
          <w:sz w:val="20"/>
          <w:szCs w:val="20"/>
          <w:lang w:val="hu-HU"/>
        </w:rPr>
        <w:t>ek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volna, valamint</w:t>
      </w:r>
      <w:r w:rsidR="007C14CF" w:rsidRPr="00A74BD2">
        <w:rPr>
          <w:rFonts w:ascii="Times New Roman" w:hAnsi="Times New Roman"/>
          <w:sz w:val="20"/>
          <w:szCs w:val="20"/>
          <w:lang w:val="hu-HU"/>
        </w:rPr>
        <w:t>,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hogy </w:t>
      </w:r>
      <w:r w:rsidR="00C300BC" w:rsidRPr="00A74BD2">
        <w:rPr>
          <w:rFonts w:ascii="Times New Roman" w:hAnsi="Times New Roman"/>
          <w:sz w:val="20"/>
          <w:szCs w:val="20"/>
          <w:lang w:val="hu-HU"/>
        </w:rPr>
        <w:t xml:space="preserve">az alkalmazott számviteli szétválasztási szabályok és 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az egyes tevékenységek közötti </w:t>
      </w:r>
      <w:r w:rsidR="00C300BC" w:rsidRPr="00A74BD2">
        <w:rPr>
          <w:rFonts w:ascii="Times New Roman" w:hAnsi="Times New Roman"/>
          <w:sz w:val="20"/>
          <w:szCs w:val="20"/>
          <w:lang w:val="hu-HU"/>
        </w:rPr>
        <w:t>tranzakciók árazása ne biztosítaná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az egyes üzletágak</w:t>
      </w:r>
      <w:r w:rsidR="00C300BC" w:rsidRPr="00A74BD2">
        <w:rPr>
          <w:rFonts w:ascii="Times New Roman" w:hAnsi="Times New Roman"/>
          <w:sz w:val="20"/>
          <w:szCs w:val="20"/>
          <w:lang w:val="hu-HU"/>
        </w:rPr>
        <w:t xml:space="preserve"> szerinti tevékenységek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közötti keresztfinanszírozás</w:t>
      </w:r>
      <w:r w:rsidR="00C300BC" w:rsidRPr="00A74BD2">
        <w:rPr>
          <w:rFonts w:ascii="Times New Roman" w:hAnsi="Times New Roman"/>
          <w:sz w:val="20"/>
          <w:szCs w:val="20"/>
          <w:lang w:val="hu-HU"/>
        </w:rPr>
        <w:t>-mentességet</w:t>
      </w:r>
      <w:r w:rsidRPr="00A74BD2">
        <w:rPr>
          <w:rFonts w:ascii="Times New Roman" w:hAnsi="Times New Roman"/>
          <w:sz w:val="20"/>
          <w:szCs w:val="20"/>
          <w:lang w:val="hu-HU"/>
        </w:rPr>
        <w:t>.</w:t>
      </w:r>
      <w:proofErr w:type="gramEnd"/>
    </w:p>
    <w:p w:rsidR="002E0AA8" w:rsidRPr="00D46CC5" w:rsidRDefault="002E0AA8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:rsidR="001E2511" w:rsidRPr="008A17AC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:rsidR="001E2511" w:rsidRPr="00D46CC5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:rsidR="008F4ADF" w:rsidRPr="00E61CD1" w:rsidRDefault="001E2511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E61CD1">
        <w:rPr>
          <w:iCs/>
          <w:spacing w:val="-2"/>
          <w:sz w:val="20"/>
        </w:rPr>
        <w:t>Nyilvántartási szám</w:t>
      </w:r>
    </w:p>
    <w:sectPr w:rsidR="008F4ADF" w:rsidRPr="00E61CD1" w:rsidSect="00682A0F">
      <w:footerReference w:type="default" r:id="rId8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B2F" w:rsidRDefault="00DD0B2F" w:rsidP="001E2511">
      <w:pPr>
        <w:spacing w:after="0" w:line="240" w:lineRule="auto"/>
      </w:pPr>
      <w:r>
        <w:separator/>
      </w:r>
    </w:p>
  </w:endnote>
  <w:endnote w:type="continuationSeparator" w:id="0">
    <w:p w:rsidR="00DD0B2F" w:rsidRDefault="00DD0B2F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  <w:szCs w:val="20"/>
      </w:rPr>
      <w:id w:val="188544185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-250507845"/>
          <w:docPartObj>
            <w:docPartGallery w:val="Page Numbers (Top of Page)"/>
            <w:docPartUnique/>
          </w:docPartObj>
        </w:sdtPr>
        <w:sdtContent>
          <w:p w:rsidR="00CF710C" w:rsidRPr="00CF710C" w:rsidRDefault="00CF710C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E268E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E268E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5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B2F" w:rsidRDefault="00DD0B2F" w:rsidP="001E2511">
      <w:pPr>
        <w:spacing w:after="0" w:line="240" w:lineRule="auto"/>
      </w:pPr>
      <w:r>
        <w:separator/>
      </w:r>
    </w:p>
  </w:footnote>
  <w:footnote w:type="continuationSeparator" w:id="0">
    <w:p w:rsidR="00DD0B2F" w:rsidRDefault="00DD0B2F" w:rsidP="001E2511">
      <w:pPr>
        <w:spacing w:after="0" w:line="240" w:lineRule="auto"/>
      </w:pPr>
      <w:r>
        <w:continuationSeparator/>
      </w:r>
    </w:p>
  </w:footnote>
  <w:footnote w:id="1">
    <w:p w:rsidR="006542B1" w:rsidRPr="00A74BD2" w:rsidRDefault="006542B1" w:rsidP="006542B1">
      <w:pPr>
        <w:pStyle w:val="Lbjegyzetszveg"/>
        <w:rPr>
          <w:rFonts w:ascii="Times New Roman" w:hAnsi="Times New Roman"/>
          <w:lang w:val="hu-HU"/>
        </w:rPr>
      </w:pPr>
      <w:r w:rsidRPr="00A74BD2">
        <w:rPr>
          <w:rStyle w:val="Lbjegyzet-hivatkozs"/>
        </w:rPr>
        <w:footnoteRef/>
      </w:r>
      <w:r w:rsidRPr="00A74BD2">
        <w:t xml:space="preserve"> </w:t>
      </w:r>
      <w:r w:rsidRPr="00A74BD2">
        <w:rPr>
          <w:rFonts w:ascii="Times New Roman" w:hAnsi="Times New Roman"/>
          <w:lang w:val="hu-HU"/>
        </w:rPr>
        <w:t>Vonatkozó ágazati törvény megfelelő előírása behelyettesítendő, pl.:</w:t>
      </w:r>
    </w:p>
    <w:p w:rsidR="006542B1" w:rsidRPr="00A74BD2" w:rsidRDefault="006542B1" w:rsidP="006542B1">
      <w:pPr>
        <w:pStyle w:val="Lbjegyzetszveg"/>
        <w:numPr>
          <w:ilvl w:val="0"/>
          <w:numId w:val="2"/>
        </w:numPr>
        <w:rPr>
          <w:rFonts w:ascii="Times New Roman" w:hAnsi="Times New Roman"/>
          <w:lang w:val="hu-HU"/>
        </w:rPr>
      </w:pPr>
      <w:r w:rsidRPr="00A74BD2">
        <w:rPr>
          <w:rFonts w:ascii="Times New Roman" w:hAnsi="Times New Roman"/>
          <w:lang w:val="hu-HU"/>
        </w:rPr>
        <w:t>villamos energiáról szóló 2007. évi LXXXVI. törvény 105/</w:t>
      </w:r>
      <w:proofErr w:type="gramStart"/>
      <w:r w:rsidRPr="00A74BD2">
        <w:rPr>
          <w:rFonts w:ascii="Times New Roman" w:hAnsi="Times New Roman"/>
          <w:lang w:val="hu-HU"/>
        </w:rPr>
        <w:t>A</w:t>
      </w:r>
      <w:proofErr w:type="gramEnd"/>
      <w:r w:rsidRPr="00A74BD2">
        <w:rPr>
          <w:rFonts w:ascii="Times New Roman" w:hAnsi="Times New Roman"/>
          <w:lang w:val="hu-HU"/>
        </w:rPr>
        <w:t>. paragrafus (1) bekezdésében</w:t>
      </w:r>
    </w:p>
    <w:p w:rsidR="006542B1" w:rsidRPr="00A74BD2" w:rsidRDefault="006542B1" w:rsidP="006542B1">
      <w:pPr>
        <w:pStyle w:val="Lbjegyzetszveg"/>
        <w:numPr>
          <w:ilvl w:val="0"/>
          <w:numId w:val="2"/>
        </w:numPr>
        <w:rPr>
          <w:rFonts w:ascii="Times New Roman" w:hAnsi="Times New Roman"/>
          <w:lang w:val="hu-HU"/>
        </w:rPr>
      </w:pPr>
      <w:r w:rsidRPr="00A74BD2">
        <w:rPr>
          <w:rFonts w:ascii="Times New Roman" w:hAnsi="Times New Roman"/>
          <w:lang w:val="hu-HU"/>
        </w:rPr>
        <w:t>távhőszolgáltatásról szóló 2005. évi XVIII. törvény 18/B. paragrafusában</w:t>
      </w:r>
    </w:p>
    <w:p w:rsidR="006542B1" w:rsidRPr="00A74BD2" w:rsidRDefault="006542B1" w:rsidP="006542B1">
      <w:pPr>
        <w:pStyle w:val="Lbjegyzetszveg"/>
        <w:numPr>
          <w:ilvl w:val="0"/>
          <w:numId w:val="2"/>
        </w:numPr>
        <w:rPr>
          <w:lang w:val="hu-HU"/>
        </w:rPr>
      </w:pPr>
      <w:r w:rsidRPr="00A74BD2">
        <w:rPr>
          <w:rFonts w:ascii="Times New Roman" w:hAnsi="Times New Roman"/>
          <w:lang w:val="hu-HU"/>
        </w:rPr>
        <w:t>víziközmű-szolgáltatásról szóló 2011. évi CCIX. törvény 49. § (4) bekezdésében</w:t>
      </w:r>
    </w:p>
  </w:footnote>
  <w:footnote w:id="2">
    <w:p w:rsidR="00B8337D" w:rsidRPr="00A74BD2" w:rsidRDefault="00B8337D">
      <w:pPr>
        <w:pStyle w:val="Lbjegyzetszveg"/>
        <w:rPr>
          <w:rFonts w:ascii="Times New Roman" w:hAnsi="Times New Roman"/>
          <w:lang w:val="hu-HU"/>
        </w:rPr>
      </w:pPr>
      <w:r w:rsidRPr="00A74BD2">
        <w:rPr>
          <w:rStyle w:val="Lbjegyzet-hivatkozs"/>
        </w:rPr>
        <w:footnoteRef/>
      </w:r>
      <w:r w:rsidRPr="00A74BD2">
        <w:t xml:space="preserve">   </w:t>
      </w:r>
      <w:r w:rsidRPr="00A74BD2">
        <w:rPr>
          <w:rFonts w:ascii="Times New Roman" w:hAnsi="Times New Roman"/>
          <w:lang w:val="hu-HU"/>
        </w:rPr>
        <w:t>Az adott helyzetnek megfelelően átírandó</w:t>
      </w:r>
    </w:p>
  </w:footnote>
  <w:footnote w:id="3">
    <w:p w:rsidR="00682A0F" w:rsidRPr="00A74BD2" w:rsidRDefault="00BD3548" w:rsidP="00682A0F">
      <w:pPr>
        <w:pStyle w:val="Lbjegyzetszveg"/>
        <w:rPr>
          <w:rFonts w:ascii="Times New Roman" w:hAnsi="Times New Roman"/>
          <w:lang w:val="hu-HU"/>
        </w:rPr>
      </w:pPr>
      <w:r w:rsidRPr="00A74BD2">
        <w:rPr>
          <w:rStyle w:val="Lbjegyzet-hivatkozs"/>
          <w:rFonts w:ascii="Times New Roman" w:hAnsi="Times New Roman"/>
        </w:rPr>
        <w:footnoteRef/>
      </w:r>
      <w:r w:rsidRPr="00A74BD2">
        <w:rPr>
          <w:rFonts w:ascii="Times New Roman" w:hAnsi="Times New Roman"/>
          <w:lang w:val="hu-HU"/>
        </w:rPr>
        <w:t xml:space="preserve"> </w:t>
      </w:r>
      <w:r w:rsidR="00682A0F" w:rsidRPr="00A74BD2">
        <w:rPr>
          <w:rFonts w:ascii="Times New Roman" w:hAnsi="Times New Roman"/>
          <w:lang w:val="hu-HU"/>
        </w:rPr>
        <w:t xml:space="preserve">  Vonatkozó ágazati törvény megfelelő előírása behelyettesítendő, pl.:</w:t>
      </w:r>
    </w:p>
    <w:p w:rsidR="00843129" w:rsidRPr="00A74BD2" w:rsidRDefault="00682A0F" w:rsidP="00843129">
      <w:pPr>
        <w:pStyle w:val="Lbjegyzetszveg"/>
        <w:numPr>
          <w:ilvl w:val="0"/>
          <w:numId w:val="2"/>
        </w:numPr>
        <w:rPr>
          <w:rFonts w:ascii="Times New Roman" w:hAnsi="Times New Roman"/>
          <w:lang w:val="hu-HU"/>
        </w:rPr>
      </w:pPr>
      <w:r w:rsidRPr="00A74BD2">
        <w:rPr>
          <w:rFonts w:ascii="Times New Roman" w:hAnsi="Times New Roman"/>
          <w:lang w:val="hu-HU"/>
        </w:rPr>
        <w:t>villamos energiáról szóló</w:t>
      </w:r>
      <w:r w:rsidR="00266366" w:rsidRPr="00A74BD2">
        <w:rPr>
          <w:rFonts w:ascii="Times New Roman" w:hAnsi="Times New Roman"/>
          <w:lang w:val="hu-HU"/>
        </w:rPr>
        <w:t xml:space="preserve"> 2007. évi LXXXVI. törvény 105. paragrafusában</w:t>
      </w:r>
      <w:r w:rsidR="00843129" w:rsidRPr="00A74BD2">
        <w:rPr>
          <w:rFonts w:ascii="Times New Roman" w:hAnsi="Times New Roman"/>
          <w:lang w:val="hu-HU"/>
        </w:rPr>
        <w:t>, valamint a 170. paragrafus (1) bekezdésének 40. pontjára tekintettel való felhatalmazása alapján kiadott 273/2007. (X. 19.) Korm. rendelet 101-103/</w:t>
      </w:r>
      <w:proofErr w:type="gramStart"/>
      <w:r w:rsidR="00843129" w:rsidRPr="00A74BD2">
        <w:rPr>
          <w:rFonts w:ascii="Times New Roman" w:hAnsi="Times New Roman"/>
          <w:lang w:val="hu-HU"/>
        </w:rPr>
        <w:t>A</w:t>
      </w:r>
      <w:proofErr w:type="gramEnd"/>
      <w:r w:rsidR="00843129" w:rsidRPr="00A74BD2">
        <w:rPr>
          <w:rFonts w:ascii="Times New Roman" w:hAnsi="Times New Roman"/>
          <w:lang w:val="hu-HU"/>
        </w:rPr>
        <w:t xml:space="preserve"> paragrafusaiban</w:t>
      </w:r>
    </w:p>
    <w:p w:rsidR="00682A0F" w:rsidRPr="00A74BD2" w:rsidRDefault="00682A0F" w:rsidP="00682A0F">
      <w:pPr>
        <w:pStyle w:val="Lbjegyzetszveg"/>
        <w:numPr>
          <w:ilvl w:val="0"/>
          <w:numId w:val="2"/>
        </w:numPr>
        <w:rPr>
          <w:rFonts w:ascii="Times New Roman" w:hAnsi="Times New Roman"/>
          <w:lang w:val="hu-HU"/>
        </w:rPr>
      </w:pPr>
      <w:r w:rsidRPr="00A74BD2">
        <w:rPr>
          <w:rFonts w:ascii="Times New Roman" w:hAnsi="Times New Roman"/>
          <w:lang w:val="hu-HU"/>
        </w:rPr>
        <w:t>távhőszolgáltatásról szóló 2005. évi XVIII. törvény 18/</w:t>
      </w:r>
      <w:proofErr w:type="gramStart"/>
      <w:r w:rsidR="0045503D" w:rsidRPr="00A74BD2">
        <w:rPr>
          <w:rFonts w:ascii="Times New Roman" w:hAnsi="Times New Roman"/>
          <w:lang w:val="hu-HU"/>
        </w:rPr>
        <w:t>A</w:t>
      </w:r>
      <w:proofErr w:type="gramEnd"/>
      <w:r w:rsidRPr="00A74BD2">
        <w:rPr>
          <w:rFonts w:ascii="Times New Roman" w:hAnsi="Times New Roman"/>
          <w:lang w:val="hu-HU"/>
        </w:rPr>
        <w:t xml:space="preserve">. </w:t>
      </w:r>
      <w:r w:rsidR="0045503D" w:rsidRPr="00A74BD2">
        <w:rPr>
          <w:rFonts w:ascii="Times New Roman" w:hAnsi="Times New Roman"/>
          <w:lang w:val="hu-HU"/>
        </w:rPr>
        <w:t>paragrafusában</w:t>
      </w:r>
    </w:p>
    <w:p w:rsidR="00682A0F" w:rsidRPr="00A74BD2" w:rsidRDefault="00682A0F" w:rsidP="00113664">
      <w:pPr>
        <w:pStyle w:val="Lbjegyzetszveg"/>
        <w:numPr>
          <w:ilvl w:val="0"/>
          <w:numId w:val="2"/>
        </w:numPr>
        <w:rPr>
          <w:rFonts w:ascii="Times New Roman" w:hAnsi="Times New Roman"/>
          <w:lang w:val="hu-HU"/>
        </w:rPr>
      </w:pPr>
      <w:r w:rsidRPr="00A74BD2">
        <w:rPr>
          <w:rFonts w:ascii="Times New Roman" w:hAnsi="Times New Roman"/>
          <w:lang w:val="hu-HU"/>
        </w:rPr>
        <w:t xml:space="preserve">víziközmű-szolgáltatásról szóló 2011. évi CCIX. törvény 49. </w:t>
      </w:r>
      <w:r w:rsidR="006542B1" w:rsidRPr="00A74BD2">
        <w:rPr>
          <w:rFonts w:ascii="Times New Roman" w:hAnsi="Times New Roman"/>
          <w:lang w:val="hu-HU"/>
        </w:rPr>
        <w:t>paragrafusában</w:t>
      </w:r>
      <w:r w:rsidR="00113664" w:rsidRPr="00A74BD2">
        <w:rPr>
          <w:rFonts w:ascii="Times New Roman" w:hAnsi="Times New Roman"/>
          <w:lang w:val="hu-HU"/>
        </w:rPr>
        <w:t>, valamint a 74. paragrafus (1) bekezdésének 13. pontjára tekintettel való felhatalmazása alapján kiadott 58/2013. (II. 27.) Korm. rendeletben</w:t>
      </w:r>
    </w:p>
    <w:p w:rsidR="00461A1E" w:rsidRPr="00A74BD2" w:rsidRDefault="00461A1E">
      <w:pPr>
        <w:pStyle w:val="Lbjegyzetszveg"/>
        <w:rPr>
          <w:lang w:val="hu-HU"/>
        </w:rPr>
      </w:pPr>
    </w:p>
  </w:footnote>
  <w:footnote w:id="4">
    <w:p w:rsidR="008A17AC" w:rsidRPr="00A74BD2" w:rsidRDefault="007C14CF" w:rsidP="008A17AC">
      <w:pPr>
        <w:pStyle w:val="Lbjegyzetszveg"/>
        <w:rPr>
          <w:rFonts w:ascii="Times New Roman" w:hAnsi="Times New Roman"/>
          <w:lang w:val="hu-HU"/>
        </w:rPr>
      </w:pPr>
      <w:r w:rsidRPr="00A74BD2">
        <w:rPr>
          <w:rStyle w:val="Lbjegyzet-hivatkozs"/>
        </w:rPr>
        <w:footnoteRef/>
      </w:r>
      <w:r w:rsidRPr="00A74BD2">
        <w:t xml:space="preserve"> </w:t>
      </w:r>
      <w:r w:rsidR="008A17AC" w:rsidRPr="00A74BD2">
        <w:rPr>
          <w:rFonts w:ascii="Times New Roman" w:hAnsi="Times New Roman"/>
          <w:lang w:val="hu-HU"/>
        </w:rPr>
        <w:t>Vonatkozó ágazati törvény megfelelő előírása behelyettesítendő, pl.:</w:t>
      </w:r>
    </w:p>
    <w:p w:rsidR="008A17AC" w:rsidRPr="00A74BD2" w:rsidRDefault="008A17AC" w:rsidP="00B723AB">
      <w:pPr>
        <w:pStyle w:val="Lbjegyzetszveg"/>
        <w:numPr>
          <w:ilvl w:val="0"/>
          <w:numId w:val="2"/>
        </w:numPr>
        <w:rPr>
          <w:rFonts w:ascii="Times New Roman" w:hAnsi="Times New Roman"/>
          <w:lang w:val="hu-HU"/>
        </w:rPr>
      </w:pPr>
      <w:r w:rsidRPr="00A74BD2">
        <w:rPr>
          <w:rFonts w:ascii="Times New Roman" w:hAnsi="Times New Roman"/>
          <w:lang w:val="hu-HU"/>
        </w:rPr>
        <w:t>villamos energiáról szó</w:t>
      </w:r>
      <w:r w:rsidR="00266366" w:rsidRPr="00A74BD2">
        <w:rPr>
          <w:rFonts w:ascii="Times New Roman" w:hAnsi="Times New Roman"/>
          <w:lang w:val="hu-HU"/>
        </w:rPr>
        <w:t>ló 2007. évi LXXXVI. törvény 105. paragrafusában</w:t>
      </w:r>
      <w:r w:rsidR="00B723AB" w:rsidRPr="00A74BD2">
        <w:rPr>
          <w:rFonts w:ascii="Times New Roman" w:hAnsi="Times New Roman"/>
          <w:lang w:val="hu-HU"/>
        </w:rPr>
        <w:t>, valamint a 170. paragrafus (1) bekezdésének 40. pontjára tekintettel való felhatalmazása alapján kiadott 273/2007. (X. 19.) Korm. rendelet 101-103/</w:t>
      </w:r>
      <w:proofErr w:type="gramStart"/>
      <w:r w:rsidR="00B723AB" w:rsidRPr="00A74BD2">
        <w:rPr>
          <w:rFonts w:ascii="Times New Roman" w:hAnsi="Times New Roman"/>
          <w:lang w:val="hu-HU"/>
        </w:rPr>
        <w:t>A</w:t>
      </w:r>
      <w:proofErr w:type="gramEnd"/>
      <w:r w:rsidR="00B723AB" w:rsidRPr="00A74BD2">
        <w:rPr>
          <w:rFonts w:ascii="Times New Roman" w:hAnsi="Times New Roman"/>
          <w:lang w:val="hu-HU"/>
        </w:rPr>
        <w:t xml:space="preserve"> paragrafusaiban</w:t>
      </w:r>
    </w:p>
    <w:p w:rsidR="008A17AC" w:rsidRPr="00A74BD2" w:rsidRDefault="008A17AC" w:rsidP="008A17AC">
      <w:pPr>
        <w:pStyle w:val="Lbjegyzetszveg"/>
        <w:numPr>
          <w:ilvl w:val="0"/>
          <w:numId w:val="2"/>
        </w:numPr>
        <w:rPr>
          <w:rFonts w:ascii="Times New Roman" w:hAnsi="Times New Roman"/>
          <w:lang w:val="hu-HU"/>
        </w:rPr>
      </w:pPr>
      <w:r w:rsidRPr="00A74BD2">
        <w:rPr>
          <w:rFonts w:ascii="Times New Roman" w:hAnsi="Times New Roman"/>
          <w:lang w:val="hu-HU"/>
        </w:rPr>
        <w:t>a távhőszolgáltatásról szóló 2005. évi XVIII. törvény 18/</w:t>
      </w:r>
      <w:proofErr w:type="gramStart"/>
      <w:r w:rsidR="0045503D" w:rsidRPr="00A74BD2">
        <w:rPr>
          <w:rFonts w:ascii="Times New Roman" w:hAnsi="Times New Roman"/>
          <w:lang w:val="hu-HU"/>
        </w:rPr>
        <w:t>A</w:t>
      </w:r>
      <w:proofErr w:type="gramEnd"/>
      <w:r w:rsidRPr="00A74BD2">
        <w:rPr>
          <w:rFonts w:ascii="Times New Roman" w:hAnsi="Times New Roman"/>
          <w:lang w:val="hu-HU"/>
        </w:rPr>
        <w:t xml:space="preserve">. </w:t>
      </w:r>
      <w:r w:rsidR="0045503D" w:rsidRPr="00A74BD2">
        <w:rPr>
          <w:rFonts w:ascii="Times New Roman" w:hAnsi="Times New Roman"/>
          <w:lang w:val="hu-HU"/>
        </w:rPr>
        <w:t>paragrafusában</w:t>
      </w:r>
    </w:p>
    <w:p w:rsidR="00113664" w:rsidRPr="00A74BD2" w:rsidRDefault="008A17AC" w:rsidP="00113664">
      <w:pPr>
        <w:pStyle w:val="Lbjegyzetszveg"/>
        <w:numPr>
          <w:ilvl w:val="0"/>
          <w:numId w:val="2"/>
        </w:numPr>
        <w:rPr>
          <w:rFonts w:ascii="Times New Roman" w:hAnsi="Times New Roman"/>
          <w:lang w:val="hu-HU"/>
        </w:rPr>
      </w:pPr>
      <w:r w:rsidRPr="00A74BD2">
        <w:rPr>
          <w:rFonts w:ascii="Times New Roman" w:hAnsi="Times New Roman"/>
          <w:lang w:val="hu-HU"/>
        </w:rPr>
        <w:t xml:space="preserve">víziközmű-szolgáltatásról szóló 2011. évi CCIX. törvény 49. </w:t>
      </w:r>
      <w:r w:rsidR="006542B1" w:rsidRPr="00A74BD2">
        <w:rPr>
          <w:rFonts w:ascii="Times New Roman" w:hAnsi="Times New Roman"/>
          <w:lang w:val="hu-HU"/>
        </w:rPr>
        <w:t>paragrafusában</w:t>
      </w:r>
      <w:r w:rsidR="00113664" w:rsidRPr="00A74BD2">
        <w:rPr>
          <w:rFonts w:ascii="Times New Roman" w:hAnsi="Times New Roman"/>
          <w:lang w:val="hu-HU"/>
        </w:rPr>
        <w:t>, valamint a 74. paragrafus (1) bekezdésének 13. pontjára tekintettel való felhatalmazása alapján kiadott 58/2013. (II. 27.) Korm. rendeletben</w:t>
      </w:r>
    </w:p>
    <w:p w:rsidR="008A17AC" w:rsidRPr="00A74BD2" w:rsidRDefault="008A17AC" w:rsidP="007C14CF">
      <w:pPr>
        <w:pStyle w:val="Lbjegyzetszveg"/>
        <w:rPr>
          <w:lang w:val="hu-H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650E3"/>
    <w:multiLevelType w:val="hybridMultilevel"/>
    <w:tmpl w:val="840408A6"/>
    <w:lvl w:ilvl="0" w:tplc="446408F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470"/>
    <w:rsid w:val="0000171A"/>
    <w:rsid w:val="000146F6"/>
    <w:rsid w:val="000477F3"/>
    <w:rsid w:val="00052310"/>
    <w:rsid w:val="00064ADF"/>
    <w:rsid w:val="00065B13"/>
    <w:rsid w:val="0008624E"/>
    <w:rsid w:val="00090665"/>
    <w:rsid w:val="000B2BF8"/>
    <w:rsid w:val="000C53E8"/>
    <w:rsid w:val="000D0232"/>
    <w:rsid w:val="000E18F2"/>
    <w:rsid w:val="000F587C"/>
    <w:rsid w:val="000F7DB6"/>
    <w:rsid w:val="00113664"/>
    <w:rsid w:val="0012784A"/>
    <w:rsid w:val="00133FAB"/>
    <w:rsid w:val="00135BF1"/>
    <w:rsid w:val="0016119C"/>
    <w:rsid w:val="0016230B"/>
    <w:rsid w:val="0019449B"/>
    <w:rsid w:val="001C0D39"/>
    <w:rsid w:val="001C101D"/>
    <w:rsid w:val="001C19F3"/>
    <w:rsid w:val="001E18F8"/>
    <w:rsid w:val="001E2511"/>
    <w:rsid w:val="00230CE5"/>
    <w:rsid w:val="002540F9"/>
    <w:rsid w:val="00266366"/>
    <w:rsid w:val="0027581F"/>
    <w:rsid w:val="002A251E"/>
    <w:rsid w:val="002A4183"/>
    <w:rsid w:val="002D3FF1"/>
    <w:rsid w:val="002E0AA8"/>
    <w:rsid w:val="002F0D7F"/>
    <w:rsid w:val="003009B2"/>
    <w:rsid w:val="0031228B"/>
    <w:rsid w:val="003253DB"/>
    <w:rsid w:val="00331BBA"/>
    <w:rsid w:val="00347176"/>
    <w:rsid w:val="003577B5"/>
    <w:rsid w:val="003605C3"/>
    <w:rsid w:val="00366308"/>
    <w:rsid w:val="00390D6E"/>
    <w:rsid w:val="0039715A"/>
    <w:rsid w:val="003B40FE"/>
    <w:rsid w:val="003D61CB"/>
    <w:rsid w:val="00411DC9"/>
    <w:rsid w:val="00414BBB"/>
    <w:rsid w:val="0043026F"/>
    <w:rsid w:val="004445AE"/>
    <w:rsid w:val="00451AE0"/>
    <w:rsid w:val="00451E9E"/>
    <w:rsid w:val="00452CD9"/>
    <w:rsid w:val="0045503D"/>
    <w:rsid w:val="004566E5"/>
    <w:rsid w:val="00461A1E"/>
    <w:rsid w:val="004762B9"/>
    <w:rsid w:val="00487ABB"/>
    <w:rsid w:val="004A4B47"/>
    <w:rsid w:val="004C5F47"/>
    <w:rsid w:val="004F1586"/>
    <w:rsid w:val="005300E7"/>
    <w:rsid w:val="0053616F"/>
    <w:rsid w:val="005428FF"/>
    <w:rsid w:val="005575E6"/>
    <w:rsid w:val="00564D07"/>
    <w:rsid w:val="00591783"/>
    <w:rsid w:val="005946E7"/>
    <w:rsid w:val="00596590"/>
    <w:rsid w:val="005A1142"/>
    <w:rsid w:val="005E3F44"/>
    <w:rsid w:val="005F0B83"/>
    <w:rsid w:val="0060024F"/>
    <w:rsid w:val="00632012"/>
    <w:rsid w:val="00641C0F"/>
    <w:rsid w:val="006541E7"/>
    <w:rsid w:val="006542B1"/>
    <w:rsid w:val="00661894"/>
    <w:rsid w:val="00682A0F"/>
    <w:rsid w:val="00687B5C"/>
    <w:rsid w:val="00690186"/>
    <w:rsid w:val="006B6341"/>
    <w:rsid w:val="006C62FC"/>
    <w:rsid w:val="006F63F1"/>
    <w:rsid w:val="00710685"/>
    <w:rsid w:val="0073612A"/>
    <w:rsid w:val="00743D82"/>
    <w:rsid w:val="00750486"/>
    <w:rsid w:val="00762DC1"/>
    <w:rsid w:val="00780171"/>
    <w:rsid w:val="007C14CF"/>
    <w:rsid w:val="007D6041"/>
    <w:rsid w:val="007D7B6D"/>
    <w:rsid w:val="007E3162"/>
    <w:rsid w:val="008031B4"/>
    <w:rsid w:val="00805204"/>
    <w:rsid w:val="00810608"/>
    <w:rsid w:val="00843129"/>
    <w:rsid w:val="00855A83"/>
    <w:rsid w:val="00874D52"/>
    <w:rsid w:val="00891C49"/>
    <w:rsid w:val="008A17AC"/>
    <w:rsid w:val="008B0BB3"/>
    <w:rsid w:val="008C1558"/>
    <w:rsid w:val="008D71BF"/>
    <w:rsid w:val="008E2591"/>
    <w:rsid w:val="008F4ADF"/>
    <w:rsid w:val="00901813"/>
    <w:rsid w:val="00903E3D"/>
    <w:rsid w:val="009414CE"/>
    <w:rsid w:val="009463C8"/>
    <w:rsid w:val="0096259E"/>
    <w:rsid w:val="0096508A"/>
    <w:rsid w:val="009738F9"/>
    <w:rsid w:val="009760DE"/>
    <w:rsid w:val="00977626"/>
    <w:rsid w:val="009825E5"/>
    <w:rsid w:val="009A6EE9"/>
    <w:rsid w:val="009A7A13"/>
    <w:rsid w:val="009B0EAF"/>
    <w:rsid w:val="009B4158"/>
    <w:rsid w:val="009C132D"/>
    <w:rsid w:val="009C34F4"/>
    <w:rsid w:val="009C53AD"/>
    <w:rsid w:val="009C7B68"/>
    <w:rsid w:val="009D2470"/>
    <w:rsid w:val="009E0C97"/>
    <w:rsid w:val="009E2855"/>
    <w:rsid w:val="009E7B5E"/>
    <w:rsid w:val="00A24436"/>
    <w:rsid w:val="00A34EB6"/>
    <w:rsid w:val="00A46E1F"/>
    <w:rsid w:val="00A67435"/>
    <w:rsid w:val="00A71306"/>
    <w:rsid w:val="00A74BD2"/>
    <w:rsid w:val="00A93590"/>
    <w:rsid w:val="00A94831"/>
    <w:rsid w:val="00AB0BFB"/>
    <w:rsid w:val="00AB40E1"/>
    <w:rsid w:val="00AB764E"/>
    <w:rsid w:val="00AF33FA"/>
    <w:rsid w:val="00AF609B"/>
    <w:rsid w:val="00AF66D2"/>
    <w:rsid w:val="00B242AA"/>
    <w:rsid w:val="00B35DB0"/>
    <w:rsid w:val="00B40AF0"/>
    <w:rsid w:val="00B513E0"/>
    <w:rsid w:val="00B617E1"/>
    <w:rsid w:val="00B635AF"/>
    <w:rsid w:val="00B662F3"/>
    <w:rsid w:val="00B723AB"/>
    <w:rsid w:val="00B8337D"/>
    <w:rsid w:val="00BC14C9"/>
    <w:rsid w:val="00BD3548"/>
    <w:rsid w:val="00BD4057"/>
    <w:rsid w:val="00C062E5"/>
    <w:rsid w:val="00C11015"/>
    <w:rsid w:val="00C21C70"/>
    <w:rsid w:val="00C300BC"/>
    <w:rsid w:val="00C34F1F"/>
    <w:rsid w:val="00C365E5"/>
    <w:rsid w:val="00C45DB0"/>
    <w:rsid w:val="00C55FD9"/>
    <w:rsid w:val="00C85A50"/>
    <w:rsid w:val="00CB7ED3"/>
    <w:rsid w:val="00CD0C83"/>
    <w:rsid w:val="00CF710C"/>
    <w:rsid w:val="00D10C6B"/>
    <w:rsid w:val="00D139F2"/>
    <w:rsid w:val="00D16DE5"/>
    <w:rsid w:val="00D206D7"/>
    <w:rsid w:val="00D25FFF"/>
    <w:rsid w:val="00D40FC4"/>
    <w:rsid w:val="00D46CC5"/>
    <w:rsid w:val="00D47618"/>
    <w:rsid w:val="00D5025C"/>
    <w:rsid w:val="00D70228"/>
    <w:rsid w:val="00D726CA"/>
    <w:rsid w:val="00D92081"/>
    <w:rsid w:val="00D92DD4"/>
    <w:rsid w:val="00DA04E8"/>
    <w:rsid w:val="00DA3B34"/>
    <w:rsid w:val="00DB7B78"/>
    <w:rsid w:val="00DC0417"/>
    <w:rsid w:val="00DC60C5"/>
    <w:rsid w:val="00DD0B2F"/>
    <w:rsid w:val="00DE1A36"/>
    <w:rsid w:val="00DF5E6B"/>
    <w:rsid w:val="00E06CF1"/>
    <w:rsid w:val="00E1150A"/>
    <w:rsid w:val="00E268E7"/>
    <w:rsid w:val="00E43303"/>
    <w:rsid w:val="00E61CD1"/>
    <w:rsid w:val="00E645DA"/>
    <w:rsid w:val="00E97BC5"/>
    <w:rsid w:val="00EC4D43"/>
    <w:rsid w:val="00EE2502"/>
    <w:rsid w:val="00EF506D"/>
    <w:rsid w:val="00F011BD"/>
    <w:rsid w:val="00F06593"/>
    <w:rsid w:val="00F1464D"/>
    <w:rsid w:val="00F82F99"/>
    <w:rsid w:val="00F86D86"/>
    <w:rsid w:val="00F94AB1"/>
    <w:rsid w:val="00FA1D94"/>
    <w:rsid w:val="00FD14E7"/>
    <w:rsid w:val="00FE42BD"/>
    <w:rsid w:val="00FF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113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customStyle="1" w:styleId="Default">
    <w:name w:val="Default"/>
    <w:rsid w:val="00B242A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13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113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customStyle="1" w:styleId="Default">
    <w:name w:val="Default"/>
    <w:rsid w:val="00B242A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13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9C1D0-AFB5-472B-AC6B-DDD37B95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1612</Words>
  <Characters>11130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hnoemi</cp:lastModifiedBy>
  <cp:revision>3</cp:revision>
  <dcterms:created xsi:type="dcterms:W3CDTF">2020-02-06T16:37:00Z</dcterms:created>
  <dcterms:modified xsi:type="dcterms:W3CDTF">2020-02-06T16:41:00Z</dcterms:modified>
</cp:coreProperties>
</file>