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2C82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39C55F14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beszámolóra vonatkozó könyvvizsgálói jelentésre</w:t>
      </w:r>
      <w:r w:rsidR="00C11CF8">
        <w:rPr>
          <w:sz w:val="20"/>
          <w:lang w:val="hu-HU"/>
        </w:rPr>
        <w:t xml:space="preserve"> (nincs melléklet)</w:t>
      </w:r>
    </w:p>
    <w:p w14:paraId="63DD52A9" w14:textId="77777777" w:rsidR="00B657D0" w:rsidRPr="00D26E33" w:rsidRDefault="00B657D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(Ellenvélemény)</w:t>
      </w:r>
    </w:p>
    <w:p w14:paraId="3CB919C7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41EAEDA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4826A694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DD15D40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33F31FCA" w14:textId="6EBA0FF4" w:rsidR="009D2470" w:rsidRDefault="00213AD5" w:rsidP="0032516D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1A5132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Az éves beszámoló könyvvizsgálatáról készült jelentés</w:t>
      </w:r>
    </w:p>
    <w:p w14:paraId="1117636D" w14:textId="77777777" w:rsidR="009D2470" w:rsidRPr="00D26E33" w:rsidRDefault="00B657D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Ellenv</w:t>
      </w:r>
      <w:r w:rsidR="009D2470"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élemény </w:t>
      </w:r>
    </w:p>
    <w:p w14:paraId="494DF44F" w14:textId="4E5BBF08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F96A2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F96A2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4EA25EE1" w14:textId="4AC10568" w:rsidR="009D2470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Véleményem(ünk) szerint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jelentés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em(</w:t>
      </w:r>
      <w:proofErr w:type="spellStart"/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</w:t>
      </w:r>
      <w:proofErr w:type="spellStart"/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nek</w:t>
      </w:r>
      <w:proofErr w:type="spellEnd"/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9859C8" w:rsidRPr="000F153D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 xml:space="preserve">az </w:t>
      </w:r>
      <w:r w:rsidR="00856B0C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9859C8" w:rsidRPr="00502FF1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Ellenvélemény alapja</w:t>
      </w:r>
      <w:r w:rsidR="00856B0C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 xml:space="preserve">” </w:t>
      </w:r>
      <w:r w:rsidR="009859C8" w:rsidRP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szakaszában tárgyalt kérdés jelentősége miatt</w:t>
      </w:r>
      <w:r w:rsidR="00856B0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9859C8" w:rsidRP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mellékelt éves beszámoló </w:t>
      </w:r>
      <w:r w:rsidR="003C220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nem</w:t>
      </w:r>
      <w:r w:rsidR="009859C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0F153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ad </w:t>
      </w:r>
      <w:r w:rsidR="003C2202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F96A2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461EB1F5" w14:textId="77777777" w:rsidR="009D2470" w:rsidRPr="00D26E33" w:rsidRDefault="000F153D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Ellenvél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emény alapja</w:t>
      </w:r>
    </w:p>
    <w:p w14:paraId="229DE424" w14:textId="77777777" w:rsidR="00015433" w:rsidRPr="009B67C5" w:rsidRDefault="00015433" w:rsidP="000154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 vezetés által nem módosított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lényeges hibás állítások éves beszámolóra gyakorolt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lehetséges és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átfogó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nak ítélt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</w:t>
      </w:r>
      <w:r w:rsidR="00EE6AA8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hatásai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miatti 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ellen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vélemény</w:t>
      </w: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re: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1E45EE48" w14:textId="77777777" w:rsidR="001E0A98" w:rsidRDefault="00856B0C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Társaságnál fennáll a lehetőség egy jelentős összegű kötelezettség </w:t>
      </w:r>
      <w:r w:rsidR="00F83213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megfizetésére </w:t>
      </w:r>
      <w:r w:rsidR="00903D70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 </w:t>
      </w:r>
      <w:r w:rsidR="00DA4FAB" w:rsidRP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Társasággal szembeni,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folyamatban lévő jogi ügy </w:t>
      </w:r>
      <w:r w:rsidR="00DA4FAB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várhatóan kedvezőtlen kimenetele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miatt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várható kötelezettségre a Társaság 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 E Ft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összegű céltartalékot képzett, melynél nem vették számításba a </w:t>
      </w:r>
      <w:r w:rsidR="003929D6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kapcsolódó </w:t>
      </w:r>
      <w:proofErr w:type="spellStart"/>
      <w:r w:rsidR="00F83213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yyy</w:t>
      </w:r>
      <w:proofErr w:type="spellEnd"/>
      <w:r w:rsidR="00F83213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 </w:t>
      </w:r>
      <w:r w:rsidR="00903D70" w:rsidRPr="00DA4FA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jelentős összegű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késedelmi kamatot.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kapcsolódó késedelmi kamatra </w:t>
      </w:r>
      <w:proofErr w:type="spellStart"/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yyy</w:t>
      </w:r>
      <w:proofErr w:type="spellEnd"/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 összeg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ben szintén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céltartalékot kellett volna képezni, amely 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ugyan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ekkora összeggel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növelte volna az egyéb ráfordítások</w:t>
      </w:r>
      <w:r w:rsidR="00DF08C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at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amelynek hatására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csökkent volna az adózott eredmény és 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saját tőke érték</w:t>
      </w:r>
      <w:r w:rsidR="008E5A0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várható kötelezettség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teljes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összegének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megfize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tésére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Társaságnak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nincs 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elegendő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pénzügyi fedezete. Továbbá</w:t>
      </w:r>
      <w:r w:rsidR="00F935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áll rendelkezésre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bármely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olyan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harmadik fél általi 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hhez kapcsolódó</w:t>
      </w:r>
      <w:r w:rsidR="008C7EF8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kötelezettségvállalás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vagy egyéb</w:t>
      </w:r>
      <w:r w:rsidR="00C038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megállapodás,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 biztosítaná a kellő fedezetet a pénzügyi teljesíthetőségre. Ezek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tények lényeges bi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zonytalanság fennállását </w:t>
      </w:r>
      <w:r w:rsidR="00F8321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jelzi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3929D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amely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jelentős kétséget vethet</w:t>
      </w:r>
      <w:r w:rsidR="006677F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nek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fel a Társaságnak a vállalkozás folytatására való képességével kapcsolatban, és így a Társaság lehet, hogy nem lesz képes a szokásos üzletmenet során realizálni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eszközeit és rendezni </w:t>
      </w:r>
      <w:r w:rsidR="008C7EF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3D70" w:rsidRPr="00903D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kötelezettségeit. Erre vonatkozóan a kiegészítő melléklet nem tartalmaz információt.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7BD2F248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502FF1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66A5A1D9" w14:textId="48CC43A5" w:rsidR="009D2470" w:rsidRPr="00D26E33" w:rsidRDefault="00D962A6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</w:t>
      </w:r>
      <w:r w:rsidR="0077067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 könyvvizsgálói hivatás magatartási (etikai) szabályairól és a fegyelmi eljárásról szóló szabályzata”-ban, valamint az ezekben nem rendezett kérdések tekintetében a </w:t>
      </w:r>
      <w:r w:rsidR="00BF7A5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Nemzetközi Etikai Standardok Testülete által kiadott „Nemzetközi etikai kódex kamarai tag könyvvizsgálóknak (a nemzetközi </w:t>
      </w:r>
      <w:r w:rsidR="00BF7A5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lastRenderedPageBreak/>
        <w:t>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</w:p>
    <w:p w14:paraId="7B3EFF09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elegendő és megfelelő 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ahhoz, hogy megalapozza ellen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</w:t>
      </w:r>
      <w:r w:rsidR="000D16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</w:p>
    <w:p w14:paraId="3ACAEA1D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</w:p>
    <w:p w14:paraId="15843F77" w14:textId="1D3BE264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F96A2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9D30AB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9D30AB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D30AB" w:rsidRPr="00D70228">
        <w:rPr>
          <w:rFonts w:ascii="Times New Roman" w:hAnsi="Times New Roman"/>
          <w:sz w:val="20"/>
          <w:szCs w:val="20"/>
          <w:lang w:val="hu-HU"/>
        </w:rPr>
        <w:t>könyvvizsgálói</w:t>
      </w:r>
      <w:r w:rsidR="009D30AB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1C63AE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„</w:t>
      </w:r>
      <w:r w:rsidR="007A4258" w:rsidRPr="00502FF1">
        <w:rPr>
          <w:rFonts w:ascii="Times New Roman" w:hAnsi="Times New Roman"/>
          <w:i/>
          <w:sz w:val="20"/>
          <w:szCs w:val="20"/>
          <w:lang w:val="hu-HU"/>
        </w:rPr>
        <w:t>Ellenv</w:t>
      </w:r>
      <w:r w:rsidRPr="00502FF1">
        <w:rPr>
          <w:rFonts w:ascii="Times New Roman" w:hAnsi="Times New Roman"/>
          <w:i/>
          <w:sz w:val="20"/>
          <w:szCs w:val="20"/>
          <w:lang w:val="hu-HU"/>
        </w:rPr>
        <w:t>élemény</w:t>
      </w:r>
      <w:r w:rsidRPr="001C63AE">
        <w:rPr>
          <w:rFonts w:ascii="Times New Roman" w:hAnsi="Times New Roman"/>
          <w:sz w:val="20"/>
          <w:szCs w:val="20"/>
          <w:lang w:val="hu-HU"/>
        </w:rPr>
        <w:t>” szakaszában az éves beszámolóra adott véleményem(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nem vonatkozik az üzleti jelentés</w:t>
      </w:r>
      <w:r>
        <w:rPr>
          <w:rFonts w:ascii="Times New Roman" w:hAnsi="Times New Roman"/>
          <w:sz w:val="20"/>
          <w:szCs w:val="20"/>
          <w:lang w:val="hu-HU"/>
        </w:rPr>
        <w:t>re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14:paraId="0D838569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átolvasása és ennek során annak mérlegelése, hogy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lényegesen ellentmond-e </w:t>
      </w:r>
      <w:r>
        <w:rPr>
          <w:rFonts w:ascii="Times New Roman" w:hAnsi="Times New Roman"/>
          <w:sz w:val="20"/>
          <w:szCs w:val="20"/>
          <w:lang w:val="hu-HU"/>
        </w:rPr>
        <w:t xml:space="preserve">az 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t>a könyvvizsgálat során szerzett ismereteimnek(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), vagy egyébként úgy tűnik-e, hogy az lényeges hibás állítást tartalmaz. </w:t>
      </w:r>
      <w:r w:rsidR="009D30AB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9D30AB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9D30AB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9D30AB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9D30AB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9D30AB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9D30AB">
        <w:rPr>
          <w:rFonts w:ascii="Times New Roman" w:hAnsi="Times New Roman"/>
          <w:sz w:val="20"/>
          <w:szCs w:val="20"/>
          <w:lang w:val="hu-HU"/>
        </w:rPr>
        <w:t>)</w:t>
      </w:r>
      <w:r w:rsidR="009D30AB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9D30AB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9D30AB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9D30AB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</w:p>
    <w:p w14:paraId="09A1C412" w14:textId="77777777" w:rsidR="009D2470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8C318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alapján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én (a mi) felelősségem(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továbbá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annak megítélése, hogy az üzleti jelentés a számviteli törvény, illetve egyéb más jogszabály vonatkozó előírásaival összhangban </w:t>
      </w:r>
      <w:r w:rsidR="009D30AB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9D30AB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</w:p>
    <w:p w14:paraId="1DEB9F7D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735233AE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395A009" w14:textId="73E45FD9" w:rsidR="00445547" w:rsidRDefault="002E7EE2" w:rsidP="00445547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F96A2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F96A2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5E1A16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1"/>
      </w:r>
      <w:r>
        <w:rPr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vonatkozó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előírásaival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7A60E0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45547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9D30A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30AB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jelentésre</w:t>
      </w:r>
      <w:r w:rsidR="00445547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9D30AB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 nem mondok(</w:t>
      </w:r>
      <w:proofErr w:type="spellStart"/>
      <w:r w:rsidR="009D30AB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30AB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véleményt.</w:t>
      </w:r>
    </w:p>
    <w:p w14:paraId="0E293CA2" w14:textId="77777777" w:rsidR="009D2470" w:rsidRPr="00D26E33" w:rsidRDefault="009524C8" w:rsidP="00445547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 más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7A60E0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5F07D1A4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van egyéb más jogszabály, amely további követelményeket ír elő az üzleti jelentésre:</w:t>
      </w:r>
    </w:p>
    <w:p w14:paraId="4A0262A9" w14:textId="77777777" w:rsidR="00445547" w:rsidRDefault="00445547" w:rsidP="00445547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26E33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], mint az üzleti jelentésre vonatkozó további követelményeket előíró egyéb más jogszabályt(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vettem(ük)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figyelembe.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588FBE51" w14:textId="1A9F61ED" w:rsidR="00445547" w:rsidRPr="00D26E33" w:rsidRDefault="00821EF9" w:rsidP="00445547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F96A2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jelentése, </w:t>
      </w:r>
      <w:r w:rsidR="007A60E0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minden lényeges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A60E0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vonatkozásban</w:t>
      </w:r>
      <w:r w:rsidR="00551064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</w:t>
      </w:r>
      <w:r w:rsidR="007A60E0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van 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(Cégnév) </w:t>
      </w:r>
      <w:r w:rsidR="00F96A20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. évi éves beszámolójával</w:t>
      </w:r>
      <w:r w:rsidR="00551064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551064" w:rsidRPr="007807E5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2"/>
      </w:r>
      <w:r w:rsidR="007A60E0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és</w:t>
      </w:r>
      <w:r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számviteli </w:t>
      </w:r>
      <w:r w:rsidR="0058272C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törvény</w:t>
      </w:r>
      <w:r w:rsidR="00666A56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előírásaival, valamint</w:t>
      </w:r>
      <w:r w:rsidR="00BF214D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58272C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az előzőekben felsorolt egyéb más jogszabály(ok)</w:t>
      </w:r>
      <w:r w:rsidR="00BF214D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]</w:t>
      </w:r>
      <w:r w:rsidR="0058272C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vonatkozó</w:t>
      </w:r>
      <w:r w:rsidR="0058272C" w:rsidRPr="007807E5" w:rsidDel="0058272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58272C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445547" w:rsidRPr="007807E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CB7370" w:rsidRPr="007807E5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3"/>
      </w:r>
    </w:p>
    <w:p w14:paraId="1D8509DC" w14:textId="77777777" w:rsidR="009D2470" w:rsidRDefault="0058272C" w:rsidP="00445547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 xml:space="preserve">Az üzleti jelentésben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7A60E0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13D80DFF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29DB7A4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579AFDC5" w14:textId="169F0569" w:rsidR="009D2470" w:rsidRPr="00D26E33" w:rsidRDefault="00F96A2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A21DD0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D26E33">
        <w:rPr>
          <w:spacing w:val="1"/>
          <w:lang w:val="hu-HU"/>
        </w:rPr>
        <w:t xml:space="preserve"> </w:t>
      </w:r>
    </w:p>
    <w:p w14:paraId="70065DAF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</w:t>
      </w:r>
      <w:r w:rsidR="004A632B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3F44EABA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</w:p>
    <w:p w14:paraId="51EDA7A1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25449EF6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5493042E" w14:textId="77777777" w:rsidR="003A26B1" w:rsidRDefault="003A26B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bookmarkStart w:id="0" w:name="_Hlk502734172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bookmarkEnd w:id="0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2714371F" w14:textId="77777777" w:rsidR="009D2470" w:rsidRPr="00D26E33" w:rsidRDefault="003A26B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1" w:name="_Hlk502734228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1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4D937501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és </w:t>
      </w:r>
      <w:r w:rsidR="00CB7370" w:rsidRPr="00D26E33">
        <w:rPr>
          <w:rFonts w:ascii="Times New Roman" w:hAnsi="Times New Roman"/>
          <w:kern w:val="20"/>
          <w:sz w:val="20"/>
          <w:szCs w:val="20"/>
          <w:lang w:val="hu-HU"/>
        </w:rPr>
        <w:t>fel</w:t>
      </w:r>
      <w:r w:rsidR="00CB7370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az éves beszámoló akár csalásból, akár hibából eredő lényeges hibás állításainak kockázatait, </w:t>
      </w:r>
      <w:bookmarkStart w:id="2" w:name="_Hlk502734246"/>
      <w:r w:rsidR="003A26B1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</w:t>
      </w:r>
      <w:proofErr w:type="spellStart"/>
      <w:r w:rsidR="003A26B1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3A26B1"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="003A26B1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3A26B1" w:rsidRPr="00D46CC5">
        <w:rPr>
          <w:rFonts w:ascii="Times New Roman" w:hAnsi="Times New Roman"/>
          <w:kern w:val="20"/>
          <w:sz w:val="20"/>
          <w:szCs w:val="20"/>
          <w:lang w:val="hu-HU"/>
        </w:rPr>
        <w:t>)</w:t>
      </w:r>
      <w:bookmarkEnd w:id="2"/>
      <w:r w:rsidR="003A26B1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3A26B1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3A26B1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</w:t>
      </w:r>
      <w:proofErr w:type="spellStart"/>
      <w:r w:rsidR="003A26B1"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3A26B1" w:rsidRPr="00D26E33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</w:t>
      </w:r>
      <w:r w:rsidR="00335F53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2CFC91EA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</w:t>
      </w:r>
    </w:p>
    <w:p w14:paraId="70767CB8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0C9BA053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le arról, hogy helyénvaló-e a vezetés részéről a vállalkozás folytatásának elvén alapuló </w:t>
      </w:r>
      <w:bookmarkStart w:id="3" w:name="_Hlk502734306"/>
      <w:r w:rsidR="000033A4" w:rsidRPr="00D46CC5">
        <w:rPr>
          <w:rFonts w:ascii="Times New Roman" w:hAnsi="Times New Roman"/>
          <w:sz w:val="20"/>
          <w:szCs w:val="20"/>
          <w:lang w:val="hu-HU"/>
        </w:rPr>
        <w:t>éves beszámoló összeállítása</w:t>
      </w:r>
      <w:bookmarkEnd w:id="3"/>
      <w:r w:rsidRPr="00D26E33">
        <w:rPr>
          <w:rFonts w:ascii="Times New Roman" w:hAnsi="Times New Roman"/>
          <w:sz w:val="20"/>
          <w:szCs w:val="20"/>
          <w:lang w:val="hu-HU"/>
        </w:rPr>
        <w:t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>az éves beszámolóban lévő kapcsolódó közzétételekre, vagy ha a közzétételek e tekintetben nem megfelelőek, minősítenem(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49623ED5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éves beszámoló átfogó </w:t>
      </w:r>
      <w:r w:rsidR="00CB7370">
        <w:rPr>
          <w:rFonts w:ascii="Times New Roman" w:hAnsi="Times New Roman"/>
          <w:kern w:val="20"/>
          <w:sz w:val="20"/>
          <w:szCs w:val="20"/>
          <w:lang w:val="hu-HU"/>
        </w:rPr>
        <w:t>bemutat</w:t>
      </w:r>
      <w:r w:rsidR="00CB7370" w:rsidRPr="00D26E33">
        <w:rPr>
          <w:rFonts w:ascii="Times New Roman" w:hAnsi="Times New Roman"/>
          <w:kern w:val="20"/>
          <w:sz w:val="20"/>
          <w:szCs w:val="20"/>
          <w:lang w:val="hu-HU"/>
        </w:rPr>
        <w:t>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59115170" w14:textId="77777777" w:rsidR="000033A4" w:rsidRPr="00D26E33" w:rsidRDefault="000033A4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4" w:name="_Hlk502734339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</w:t>
      </w:r>
      <w:bookmarkEnd w:id="4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.</w:t>
      </w:r>
    </w:p>
    <w:p w14:paraId="086E0A49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0B9445EC" w14:textId="77777777" w:rsidR="009121FC" w:rsidRPr="00816D1C" w:rsidRDefault="009121FC" w:rsidP="009121FC">
      <w:pPr>
        <w:pStyle w:val="Szvegtrzs"/>
        <w:spacing w:before="120" w:after="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z w:val="20"/>
          <w:szCs w:val="20"/>
          <w:lang w:val="hu-HU"/>
        </w:rPr>
        <w:t>Jelentés egyéb jogi és szabályozói követelményekről</w:t>
      </w:r>
    </w:p>
    <w:p w14:paraId="524B3624" w14:textId="77777777" w:rsidR="009121FC" w:rsidRPr="00816D1C" w:rsidRDefault="009121FC" w:rsidP="009121FC">
      <w:pPr>
        <w:pStyle w:val="Szvegtrzs"/>
        <w:spacing w:before="120" w:after="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A68E0E4" w14:textId="77777777" w:rsidR="009121FC" w:rsidRPr="00816D1C" w:rsidRDefault="009121FC" w:rsidP="009121FC">
      <w:pPr>
        <w:pStyle w:val="Szvegtrzs"/>
        <w:spacing w:before="120" w:after="0"/>
        <w:jc w:val="both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14884E31" w14:textId="77777777" w:rsidR="009121FC" w:rsidRPr="00816D1C" w:rsidRDefault="009121FC" w:rsidP="009121FC">
      <w:pPr>
        <w:pStyle w:val="Szvegtrzs"/>
        <w:spacing w:before="120" w:after="0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4C2C6C97" w14:textId="77777777" w:rsidR="009121FC" w:rsidRPr="00816D1C" w:rsidRDefault="009121FC" w:rsidP="009121F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Nyilatkozunk arról, hogy a számviteli törvény 134/E. §-a alapján a könyvvizsgálat tárgyát képező 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5F4EBEEF" w14:textId="77777777" w:rsidR="009121FC" w:rsidRPr="00816D1C" w:rsidRDefault="009121FC" w:rsidP="009121F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6AFFCE1C" w14:textId="77777777" w:rsidR="009121FC" w:rsidRPr="00816D1C" w:rsidRDefault="009121FC" w:rsidP="009121FC">
      <w:pPr>
        <w:pStyle w:val="Szvegtrzs"/>
        <w:spacing w:before="120" w:after="0"/>
        <w:jc w:val="both"/>
        <w:rPr>
          <w:rFonts w:ascii="Times New Roman" w:hAnsi="Times New Roman"/>
          <w:i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7292E89A" w14:textId="77777777" w:rsidR="009121FC" w:rsidRPr="00816D1C" w:rsidRDefault="009121FC" w:rsidP="009121F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08F25376" w14:textId="77777777" w:rsidR="009121FC" w:rsidRPr="00816D1C" w:rsidRDefault="009121FC" w:rsidP="009121F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53787E8D" w14:textId="77777777" w:rsidR="009121FC" w:rsidRPr="00816D1C" w:rsidRDefault="009121FC" w:rsidP="009121F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509BD943" w14:textId="77777777" w:rsidR="009121FC" w:rsidRPr="00816D1C" w:rsidRDefault="009121FC" w:rsidP="009121FC">
      <w:pPr>
        <w:pStyle w:val="Szvegtrzs"/>
        <w:spacing w:before="120" w:after="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05EACAB7" w14:textId="77777777" w:rsidR="009121FC" w:rsidRPr="00816D1C" w:rsidRDefault="009121FC" w:rsidP="009121F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1B6F8D20" w14:textId="77777777" w:rsidR="009121FC" w:rsidRPr="00816D1C" w:rsidRDefault="009121FC" w:rsidP="009121F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2185B269" w14:textId="77777777" w:rsidR="009121FC" w:rsidRPr="00816D1C" w:rsidRDefault="009121FC" w:rsidP="009121F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11A18F3" w14:textId="77777777" w:rsidR="009121FC" w:rsidRPr="00816D1C" w:rsidRDefault="009121FC" w:rsidP="009121FC">
      <w:pPr>
        <w:pStyle w:val="Szvegtrzs"/>
        <w:spacing w:before="120" w:after="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013BDB9A" w14:textId="77777777" w:rsidR="009121FC" w:rsidRPr="00816D1C" w:rsidRDefault="009121FC" w:rsidP="009121F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06454B2" w14:textId="77777777" w:rsidR="009121FC" w:rsidRPr="00816D1C" w:rsidRDefault="009121FC" w:rsidP="009121F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008D48C6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72D7486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35DC130C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56D3748C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092AF9C0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50BBFAE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5694C2E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240551F0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7B2524FF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E492" w14:textId="77777777" w:rsidR="004009FF" w:rsidRDefault="004009FF" w:rsidP="0082145C">
      <w:pPr>
        <w:spacing w:after="0" w:line="240" w:lineRule="auto"/>
      </w:pPr>
      <w:r>
        <w:separator/>
      </w:r>
    </w:p>
  </w:endnote>
  <w:endnote w:type="continuationSeparator" w:id="0">
    <w:p w14:paraId="2F91AD6F" w14:textId="77777777" w:rsidR="004009FF" w:rsidRDefault="004009FF" w:rsidP="0082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8555229"/>
      <w:docPartObj>
        <w:docPartGallery w:val="Page Numbers (Bottom of Page)"/>
        <w:docPartUnique/>
      </w:docPartObj>
    </w:sdtPr>
    <w:sdtEndPr/>
    <w:sdtContent>
      <w:p w14:paraId="6BD726E0" w14:textId="77777777" w:rsidR="0077067E" w:rsidRDefault="007706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FF1" w:rsidRPr="00502FF1">
          <w:rPr>
            <w:noProof/>
            <w:lang w:val="hu-HU"/>
          </w:rPr>
          <w:t>1</w:t>
        </w:r>
        <w:r>
          <w:fldChar w:fldCharType="end"/>
        </w:r>
      </w:p>
    </w:sdtContent>
  </w:sdt>
  <w:p w14:paraId="37FB5AEF" w14:textId="77777777" w:rsidR="0077067E" w:rsidRDefault="007706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5810" w14:textId="77777777" w:rsidR="004009FF" w:rsidRDefault="004009FF" w:rsidP="0082145C">
      <w:pPr>
        <w:spacing w:after="0" w:line="240" w:lineRule="auto"/>
      </w:pPr>
      <w:r>
        <w:separator/>
      </w:r>
    </w:p>
  </w:footnote>
  <w:footnote w:type="continuationSeparator" w:id="0">
    <w:p w14:paraId="615900EB" w14:textId="77777777" w:rsidR="004009FF" w:rsidRDefault="004009FF" w:rsidP="0082145C">
      <w:pPr>
        <w:spacing w:after="0" w:line="240" w:lineRule="auto"/>
      </w:pPr>
      <w:r>
        <w:continuationSeparator/>
      </w:r>
    </w:p>
  </w:footnote>
  <w:footnote w:id="1">
    <w:p w14:paraId="2988B6D0" w14:textId="77777777" w:rsidR="002E7EE2" w:rsidRDefault="002E7EE2" w:rsidP="002E7EE2">
      <w:pPr>
        <w:pStyle w:val="Lbjegyzetszveg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5E1A16">
        <w:rPr>
          <w:rStyle w:val="Lbjegyzet-hivatkozs"/>
          <w:color w:val="FF0000"/>
        </w:rPr>
        <w:footnoteRef/>
      </w:r>
      <w:r w:rsidRPr="005E1A16">
        <w:rPr>
          <w:color w:val="FF0000"/>
        </w:rPr>
        <w:t xml:space="preserve">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Amennyiben a könyvvizsgáló a 705. témaszámú (felülvizsgált) nemzetközi könyvvizsgálati standarddal összhangban korlátozott véleményt vagy ellenvéleményt bocsát ki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az éves beszámolóra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,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akkor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meg kell fontolnia a vélemény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e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minősítését előidéző kérdés következményeit a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z üzleti jelentésben foglalt egyéb információkra.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(Hiv.: ISA 720.23 bekezdés).</w:t>
      </w:r>
    </w:p>
    <w:p w14:paraId="7CDA09D9" w14:textId="77777777" w:rsidR="002E7EE2" w:rsidRDefault="002E7EE2" w:rsidP="002E7EE2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  <w:r>
        <w:rPr>
          <w:rFonts w:ascii="Times New Roman" w:hAnsi="Times New Roman"/>
          <w:color w:val="FF0000"/>
          <w:sz w:val="16"/>
          <w:szCs w:val="16"/>
          <w:lang w:val="hu-HU"/>
        </w:rPr>
        <w:t>Ennél fogva, ha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 xml:space="preserve"> a könyvvizsgáló a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z éves beszámolóról 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 xml:space="preserve">ellenvéleményt bocsátott ki, szükséges lehet, hogy módosítsa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az üzleti jelentésre vonatkozó következtetéséről szóló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 xml:space="preserve"> kijelentés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é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 xml:space="preserve">t, például annak jelzésére, hogy az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üzleti jelentésbe foglalt e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>gyéb információk összegei és tételei lényeges hibás állítást tartalmaznak a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z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éves beszámolóra </w:t>
      </w:r>
      <w:r w:rsidRPr="002E7EE2">
        <w:rPr>
          <w:rFonts w:ascii="Times New Roman" w:hAnsi="Times New Roman"/>
          <w:color w:val="FF0000"/>
          <w:sz w:val="16"/>
          <w:szCs w:val="16"/>
          <w:lang w:val="hu-HU"/>
        </w:rPr>
        <w:t>vonatkozó ellenvéleményt előidéző kérdésre vagy ahhoz kapcsolódó kérdésre vonatkozóan</w:t>
      </w:r>
      <w:r w:rsidRPr="00311958">
        <w:rPr>
          <w:rFonts w:ascii="Times New Roman" w:hAnsi="Times New Roman"/>
          <w:color w:val="FF0000"/>
          <w:sz w:val="16"/>
          <w:szCs w:val="16"/>
          <w:lang w:val="hu-HU"/>
        </w:rPr>
        <w:t>.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 xml:space="preserve">(Hiv.: 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>ISA 720.A57 bekezdés</w:t>
      </w:r>
      <w:r w:rsidRPr="005E1A16">
        <w:rPr>
          <w:rFonts w:ascii="Times New Roman" w:hAnsi="Times New Roman"/>
          <w:color w:val="FF0000"/>
          <w:sz w:val="16"/>
          <w:szCs w:val="16"/>
          <w:lang w:val="hu-HU"/>
        </w:rPr>
        <w:t>)</w:t>
      </w:r>
      <w:r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</w:p>
    <w:p w14:paraId="53B8C430" w14:textId="77777777" w:rsidR="00743ED9" w:rsidRPr="005E1A16" w:rsidRDefault="00743ED9" w:rsidP="002E7EE2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</w:p>
  </w:footnote>
  <w:footnote w:id="2">
    <w:p w14:paraId="724B571A" w14:textId="77777777" w:rsidR="00551064" w:rsidRDefault="00551064">
      <w:pPr>
        <w:pStyle w:val="Lbjegyzetszveg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2457E4">
        <w:rPr>
          <w:rFonts w:ascii="Times New Roman" w:hAnsi="Times New Roman"/>
          <w:color w:val="FF0000"/>
          <w:sz w:val="16"/>
          <w:szCs w:val="16"/>
          <w:lang w:val="hu-HU"/>
        </w:rPr>
        <w:footnoteRef/>
      </w:r>
      <w:r w:rsidRPr="002457E4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2457E4" w:rsidRPr="002457E4">
        <w:rPr>
          <w:rFonts w:ascii="Times New Roman" w:hAnsi="Times New Roman"/>
          <w:color w:val="FF0000"/>
          <w:sz w:val="16"/>
          <w:szCs w:val="16"/>
          <w:lang w:val="hu-HU"/>
        </w:rPr>
        <w:t>Lásd az 1-es lábjegyzetnél írtakat!</w:t>
      </w:r>
    </w:p>
    <w:p w14:paraId="4F596F57" w14:textId="77777777" w:rsidR="002457E4" w:rsidRPr="002457E4" w:rsidRDefault="002457E4">
      <w:pPr>
        <w:pStyle w:val="Lbjegyzetszveg"/>
        <w:rPr>
          <w:rFonts w:ascii="Times New Roman" w:hAnsi="Times New Roman"/>
          <w:color w:val="FF0000"/>
          <w:sz w:val="16"/>
          <w:szCs w:val="16"/>
          <w:lang w:val="hu-HU"/>
        </w:rPr>
      </w:pPr>
    </w:p>
  </w:footnote>
  <w:footnote w:id="3">
    <w:p w14:paraId="35112FDA" w14:textId="77777777" w:rsidR="00CB7370" w:rsidRPr="002457E4" w:rsidRDefault="00CB7370" w:rsidP="00CB7370">
      <w:pPr>
        <w:pStyle w:val="Lbjegyzetszveg"/>
        <w:jc w:val="both"/>
        <w:rPr>
          <w:rFonts w:ascii="Times New Roman" w:hAnsi="Times New Roman"/>
          <w:color w:val="FF0000"/>
          <w:sz w:val="16"/>
          <w:szCs w:val="16"/>
          <w:lang w:val="hu-HU"/>
        </w:rPr>
      </w:pPr>
      <w:r w:rsidRPr="002457E4">
        <w:rPr>
          <w:rFonts w:ascii="Times New Roman" w:hAnsi="Times New Roman"/>
          <w:color w:val="FF0000"/>
          <w:sz w:val="16"/>
          <w:szCs w:val="16"/>
          <w:lang w:val="hu-HU"/>
        </w:rPr>
        <w:footnoteRef/>
      </w:r>
      <w:r w:rsidRPr="002457E4">
        <w:rPr>
          <w:rFonts w:ascii="Times New Roman" w:hAnsi="Times New Roman"/>
          <w:color w:val="FF0000"/>
          <w:sz w:val="16"/>
          <w:szCs w:val="16"/>
          <w:lang w:val="hu-HU"/>
        </w:rPr>
        <w:t xml:space="preserve"> Lás</w:t>
      </w:r>
      <w:r w:rsidR="00876AE7">
        <w:rPr>
          <w:rFonts w:ascii="Times New Roman" w:hAnsi="Times New Roman"/>
          <w:color w:val="FF0000"/>
          <w:sz w:val="16"/>
          <w:szCs w:val="16"/>
          <w:lang w:val="hu-HU"/>
        </w:rPr>
        <w:t>d az 1-es lábjegyzetnél írtakat!</w:t>
      </w:r>
      <w:r w:rsidRPr="002457E4">
        <w:rPr>
          <w:rFonts w:ascii="Times New Roman" w:hAnsi="Times New Roman"/>
          <w:color w:val="FF0000"/>
          <w:sz w:val="16"/>
          <w:szCs w:val="16"/>
          <w:lang w:val="hu-HU"/>
        </w:rPr>
        <w:t xml:space="preserve"> Az egyéb jogszabályokkal való összhangról a fenti példa tiszta véleményt tartalmaz, feltételezve, hogy az egyes egyéb jogszabályokban foglalt információkat a gazdálkodó megfelelően szerepeltette az üzleti jelentésében.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4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33A4"/>
    <w:rsid w:val="00015433"/>
    <w:rsid w:val="000C6316"/>
    <w:rsid w:val="000D1649"/>
    <w:rsid w:val="000E51B3"/>
    <w:rsid w:val="000F153D"/>
    <w:rsid w:val="001252C0"/>
    <w:rsid w:val="0014328C"/>
    <w:rsid w:val="00195C4A"/>
    <w:rsid w:val="001A6245"/>
    <w:rsid w:val="001E0A98"/>
    <w:rsid w:val="00213AD5"/>
    <w:rsid w:val="002457E4"/>
    <w:rsid w:val="002A461C"/>
    <w:rsid w:val="002E7EE2"/>
    <w:rsid w:val="0032516D"/>
    <w:rsid w:val="00335F53"/>
    <w:rsid w:val="003929D6"/>
    <w:rsid w:val="003A26B1"/>
    <w:rsid w:val="003C2202"/>
    <w:rsid w:val="004009FF"/>
    <w:rsid w:val="00445547"/>
    <w:rsid w:val="00472FF5"/>
    <w:rsid w:val="004A632B"/>
    <w:rsid w:val="004F4CB7"/>
    <w:rsid w:val="00502FF1"/>
    <w:rsid w:val="00551064"/>
    <w:rsid w:val="0058272C"/>
    <w:rsid w:val="00604ACF"/>
    <w:rsid w:val="00614E07"/>
    <w:rsid w:val="00666A56"/>
    <w:rsid w:val="006677F5"/>
    <w:rsid w:val="006A3F57"/>
    <w:rsid w:val="00743ED9"/>
    <w:rsid w:val="00746122"/>
    <w:rsid w:val="0077067E"/>
    <w:rsid w:val="007807E5"/>
    <w:rsid w:val="007A4258"/>
    <w:rsid w:val="007A60E0"/>
    <w:rsid w:val="007C42D5"/>
    <w:rsid w:val="007F1B2F"/>
    <w:rsid w:val="0082145C"/>
    <w:rsid w:val="00821EF9"/>
    <w:rsid w:val="00856B0C"/>
    <w:rsid w:val="00876AE7"/>
    <w:rsid w:val="008B0368"/>
    <w:rsid w:val="008C7EF8"/>
    <w:rsid w:val="008E5A08"/>
    <w:rsid w:val="008F4ADF"/>
    <w:rsid w:val="00903D70"/>
    <w:rsid w:val="009121FC"/>
    <w:rsid w:val="00932567"/>
    <w:rsid w:val="009524C8"/>
    <w:rsid w:val="009859C8"/>
    <w:rsid w:val="0098789E"/>
    <w:rsid w:val="009D2470"/>
    <w:rsid w:val="009D30AB"/>
    <w:rsid w:val="009E79CD"/>
    <w:rsid w:val="00A450CF"/>
    <w:rsid w:val="00AC1E5E"/>
    <w:rsid w:val="00B657D0"/>
    <w:rsid w:val="00BF214D"/>
    <w:rsid w:val="00BF7A57"/>
    <w:rsid w:val="00C038AA"/>
    <w:rsid w:val="00C045EC"/>
    <w:rsid w:val="00C11CF8"/>
    <w:rsid w:val="00C36F21"/>
    <w:rsid w:val="00C466B5"/>
    <w:rsid w:val="00C53EE0"/>
    <w:rsid w:val="00C554BA"/>
    <w:rsid w:val="00CB7370"/>
    <w:rsid w:val="00D962A6"/>
    <w:rsid w:val="00DA4FAB"/>
    <w:rsid w:val="00DC1CF0"/>
    <w:rsid w:val="00DF08C1"/>
    <w:rsid w:val="00EE6AA8"/>
    <w:rsid w:val="00F83213"/>
    <w:rsid w:val="00F9356A"/>
    <w:rsid w:val="00F9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CA0E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6B0C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145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145C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82145C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70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067E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770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067E"/>
    <w:rPr>
      <w:rFonts w:ascii="Calibri" w:eastAsia="Times New Roman" w:hAnsi="Calibri" w:cs="Times New Roman"/>
      <w:lang w:val="en-GB" w:eastAsia="zh-CN"/>
    </w:rPr>
  </w:style>
  <w:style w:type="paragraph" w:styleId="Vltozat">
    <w:name w:val="Revision"/>
    <w:hidden/>
    <w:uiPriority w:val="99"/>
    <w:semiHidden/>
    <w:rsid w:val="000E51B3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121F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121FC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47E4-8F67-4A83-BBAD-1DBEBBE6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1592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Erika Fazekas</cp:lastModifiedBy>
  <cp:revision>7</cp:revision>
  <dcterms:created xsi:type="dcterms:W3CDTF">2022-11-30T14:32:00Z</dcterms:created>
  <dcterms:modified xsi:type="dcterms:W3CDTF">2026-04-09T07:37:00Z</dcterms:modified>
</cp:coreProperties>
</file>