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201C2" w14:textId="77777777" w:rsidR="001E7007" w:rsidRPr="002E4B5B" w:rsidRDefault="007E37F2" w:rsidP="001E7007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Példa az </w:t>
      </w:r>
      <w:r w:rsidR="001E7007" w:rsidRPr="002E4B5B">
        <w:rPr>
          <w:sz w:val="20"/>
          <w:lang w:val="hu-HU"/>
        </w:rPr>
        <w:t xml:space="preserve">éves </w:t>
      </w:r>
      <w:r>
        <w:rPr>
          <w:sz w:val="20"/>
          <w:lang w:val="hu-HU"/>
        </w:rPr>
        <w:t xml:space="preserve">költségvetési </w:t>
      </w:r>
      <w:r w:rsidR="001E7007" w:rsidRPr="002E4B5B">
        <w:rPr>
          <w:sz w:val="20"/>
          <w:lang w:val="hu-HU"/>
        </w:rPr>
        <w:t>beszámolóra vonatkozó könyvvizsgálói jelentésre</w:t>
      </w:r>
      <w:r w:rsidR="008529E1">
        <w:rPr>
          <w:sz w:val="20"/>
          <w:lang w:val="hu-HU"/>
        </w:rPr>
        <w:t xml:space="preserve"> </w:t>
      </w:r>
    </w:p>
    <w:p w14:paraId="4FFA35AF" w14:textId="77777777" w:rsidR="001E7007" w:rsidRPr="002E4B5B" w:rsidRDefault="001E7007" w:rsidP="001E7007">
      <w:pPr>
        <w:pStyle w:val="NumberedParagraphISA400"/>
        <w:tabs>
          <w:tab w:val="clear" w:pos="312"/>
          <w:tab w:val="clear" w:pos="480"/>
        </w:tabs>
        <w:spacing w:line="240" w:lineRule="auto"/>
        <w:rPr>
          <w:sz w:val="20"/>
          <w:szCs w:val="20"/>
        </w:rPr>
      </w:pPr>
    </w:p>
    <w:p w14:paraId="4CEA5BFB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2E4B5B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55D78B1E" w14:textId="77777777" w:rsidR="001E7007" w:rsidRPr="0001238B" w:rsidRDefault="004F6F3E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i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</w:t>
      </w:r>
      <w:r w:rsidR="0001238B"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4900DD0F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8B016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7E37F2" w:rsidRPr="008B016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intézmény vezetésének, irányító szervének</w:t>
      </w:r>
    </w:p>
    <w:p w14:paraId="412D5626" w14:textId="77777777" w:rsidR="00B00EDC" w:rsidRDefault="00B00EDC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34ED782" w14:textId="77777777" w:rsidR="00B00EDC" w:rsidRPr="00B00EDC" w:rsidRDefault="001E7007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02AE58B1" w14:textId="17ADA10C" w:rsidR="001E7007" w:rsidRPr="002E4B5B" w:rsidRDefault="007E37F2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</w:t>
      </w:r>
      <w:r w:rsid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ABC intézmény  („az Intézmény”)</w:t>
      </w:r>
      <w:r w:rsidR="0098508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E43B2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1"/>
      </w:r>
      <w:r w:rsid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22D0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beszámolójának könyvvi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zsgálatát, amely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beszámoló a </w:t>
      </w:r>
      <w:r w:rsidR="00122D0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költségvetési jelentésből, amelyben a teljesített költs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égvetési bevételek összege [</w:t>
      </w:r>
      <w:proofErr w:type="spellStart"/>
      <w:r w:rsidR="00F113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Ft, a teljesített költsé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gvetési kiadások összege [</w:t>
      </w:r>
      <w:proofErr w:type="spellStart"/>
      <w:r w:rsidR="00F113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 w:rsidR="006D46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] Ft, maradványkimutatásból, amelyben az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összes maradvány [</w:t>
      </w:r>
      <w:proofErr w:type="spellStart"/>
      <w:r w:rsidR="00F113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további adatszolgáltatásokból,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elszámolásokból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 </w:t>
      </w:r>
      <w:r w:rsidR="00122D0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547F7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december 31-i fordulónapra készített mérlegből </w:t>
      </w:r>
      <w:r w:rsidR="00547F7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melyben az eszközök és források egyező végösszege </w:t>
      </w:r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F1135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Ft, a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16903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 szerinti  </w:t>
      </w:r>
      <w:r w:rsidR="001E7007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F1135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 Ft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1E7007" w:rsidRPr="008B016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eredmé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nykimutatásból, valamint </w:t>
      </w:r>
      <w:r w:rsidR="00916903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1E7007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kiegészítő mellékletből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áll</w:t>
      </w:r>
      <w:r w:rsidR="0098508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CE43B2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2"/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58D3632" w14:textId="6BD3A6E5" w:rsidR="001E7007" w:rsidRPr="00C55B3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mellékelt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beszámoló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Intézmény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122D0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évi éves költségvetésének teljesítéséről, az Intézmény </w:t>
      </w:r>
      <w:r w:rsidR="00122D0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december 31-én fennálló vagyoni és pénzügyi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költségvetési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évre vonatkozó jövedelmi helyzetéről a Magyarországon hatályos, a számvitelről szóló 2000. évi C. törvénnyel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 számviteli törvény), valamint </w:t>
      </w:r>
      <w:r w:rsidR="00916903" w:rsidRPr="00877C4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az államháztartás számviteléről szóló 4/2013. (I. 11.) Korm. rendelettel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államháztartás számviteléről sz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óló kormányrendelet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összhangban.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45652055" w14:textId="77777777" w:rsidR="00B00EDC" w:rsidRDefault="00B00EDC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</w:pPr>
    </w:p>
    <w:p w14:paraId="53963F1C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45FFF408" w14:textId="77777777" w:rsidR="00907890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2E4B5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2E4B5B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éves 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beszámoló könyvvizsgálatáért való felelőssége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” szakasza tartalmazza.</w:t>
      </w:r>
    </w:p>
    <w:p w14:paraId="0741AF1A" w14:textId="3979F977" w:rsidR="001E7007" w:rsidRPr="002E4B5B" w:rsidRDefault="00907890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</w:t>
      </w:r>
      <w:r w:rsidR="000E359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ntézménytől a vonatkozó, Magyarországon hatályos jogszabályokban és a Magyar Könyvvizsgálói Kamara „A könyvvizsgálói hivatás magatartási (etikai) szabályairól és a fegyelmi eljárásról szóló szabályzat”-</w:t>
      </w:r>
      <w:proofErr w:type="spellStart"/>
      <w:r w:rsidR="008F476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ban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az ezekben nem rendezett kérdések tekintetében a </w:t>
      </w:r>
      <w:r w:rsidR="008750C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8750CB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8750C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8750CB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(az IESBA Kódex-be</w:t>
      </w:r>
      <w:r w:rsidR="00842AF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foglaltak szerint, és megfelelek(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ugyanezen normákban szereplő további etikai előírásoknak is.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DE723E6" w14:textId="77777777" w:rsidR="001E7007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7593C3F" w14:textId="77777777" w:rsidR="00B00EDC" w:rsidRDefault="00B00EDC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256902F2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</w:t>
      </w:r>
      <w:r w:rsidR="008E1BC0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felelőssége az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beszámolóért</w:t>
      </w:r>
    </w:p>
    <w:p w14:paraId="48A2D162" w14:textId="77777777" w:rsidR="001E7007" w:rsidRPr="002E4B5B" w:rsidRDefault="001E7007" w:rsidP="001E7007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>A ve</w:t>
      </w:r>
      <w:r w:rsidR="004E6423">
        <w:rPr>
          <w:spacing w:val="1"/>
          <w:lang w:val="hu-HU"/>
        </w:rPr>
        <w:t xml:space="preserve">zetés felelős az </w:t>
      </w:r>
      <w:r w:rsidRPr="002E4B5B">
        <w:rPr>
          <w:spacing w:val="1"/>
          <w:lang w:val="hu-HU"/>
        </w:rPr>
        <w:t xml:space="preserve">éves </w:t>
      </w:r>
      <w:r w:rsidR="004E6423">
        <w:rPr>
          <w:spacing w:val="1"/>
          <w:lang w:val="hu-HU"/>
        </w:rPr>
        <w:t xml:space="preserve">költségvetési </w:t>
      </w:r>
      <w:r w:rsidRPr="002E4B5B">
        <w:rPr>
          <w:spacing w:val="1"/>
          <w:lang w:val="hu-HU"/>
        </w:rPr>
        <w:t>beszámolónak a számviteli törvénnyel</w:t>
      </w:r>
      <w:r w:rsidR="004E6423">
        <w:rPr>
          <w:spacing w:val="1"/>
          <w:lang w:val="hu-HU"/>
        </w:rPr>
        <w:t xml:space="preserve">, </w:t>
      </w:r>
      <w:r w:rsidR="004E6423" w:rsidRPr="00877C46">
        <w:rPr>
          <w:spacing w:val="1"/>
          <w:lang w:val="hu-HU"/>
        </w:rPr>
        <w:t>valamint az államháztartás számviteléről szóló kormányrendelettel</w:t>
      </w:r>
      <w:r w:rsidRPr="002E4B5B">
        <w:rPr>
          <w:spacing w:val="1"/>
          <w:lang w:val="hu-HU"/>
        </w:rPr>
        <w:t xml:space="preserve"> összhangban történő és a valós bemutatás követelményének megfelelő elkészítéséért, valamint az olyan belső kontroll</w:t>
      </w:r>
      <w:r>
        <w:rPr>
          <w:spacing w:val="1"/>
          <w:lang w:val="hu-HU"/>
        </w:rPr>
        <w:t>ért</w:t>
      </w:r>
      <w:r w:rsidRPr="002E4B5B">
        <w:rPr>
          <w:spacing w:val="1"/>
          <w:lang w:val="hu-HU"/>
        </w:rPr>
        <w:t xml:space="preserve">, amelyet a vezetés szükségesnek tart ahhoz, hogy lehetővé váljon az akár csalásból, akár hibából eredő lényeges hibás </w:t>
      </w:r>
      <w:r w:rsidR="004E6423">
        <w:rPr>
          <w:spacing w:val="1"/>
          <w:lang w:val="hu-HU"/>
        </w:rPr>
        <w:t xml:space="preserve">állítástól mentes </w:t>
      </w:r>
      <w:r w:rsidRPr="002E4B5B">
        <w:rPr>
          <w:spacing w:val="1"/>
          <w:lang w:val="hu-HU"/>
        </w:rPr>
        <w:t xml:space="preserve">éves </w:t>
      </w:r>
      <w:r w:rsidR="004E6423">
        <w:rPr>
          <w:spacing w:val="1"/>
          <w:lang w:val="hu-HU"/>
        </w:rPr>
        <w:t xml:space="preserve">költségvetési </w:t>
      </w:r>
      <w:r w:rsidRPr="002E4B5B">
        <w:rPr>
          <w:spacing w:val="1"/>
          <w:lang w:val="hu-HU"/>
        </w:rPr>
        <w:t xml:space="preserve">beszámoló elkészítése. </w:t>
      </w:r>
    </w:p>
    <w:p w14:paraId="294783C8" w14:textId="77777777" w:rsidR="001E7007" w:rsidRPr="002E4B5B" w:rsidRDefault="004E6423" w:rsidP="001E7007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>
        <w:rPr>
          <w:color w:val="000000"/>
          <w:lang w:val="hu-HU"/>
        </w:rPr>
        <w:t xml:space="preserve">Az </w:t>
      </w:r>
      <w:r w:rsidR="001E7007" w:rsidRPr="002E4B5B">
        <w:rPr>
          <w:color w:val="000000"/>
          <w:lang w:val="hu-HU"/>
        </w:rPr>
        <w:t xml:space="preserve">éves </w:t>
      </w:r>
      <w:r>
        <w:rPr>
          <w:color w:val="000000"/>
          <w:lang w:val="hu-HU"/>
        </w:rPr>
        <w:t xml:space="preserve">költségvetési </w:t>
      </w:r>
      <w:r w:rsidR="001E7007" w:rsidRPr="002E4B5B">
        <w:rPr>
          <w:color w:val="000000"/>
          <w:lang w:val="hu-HU"/>
        </w:rPr>
        <w:t>beszámoló elkészítése során a vezetés felelős az</w:t>
      </w:r>
      <w:r w:rsidR="00E817A4">
        <w:rPr>
          <w:color w:val="000000"/>
          <w:lang w:val="hu-HU"/>
        </w:rPr>
        <w:t>ért, hogy felmérje az Intézménynél</w:t>
      </w:r>
      <w:r w:rsidR="001E7007" w:rsidRPr="002E4B5B">
        <w:rPr>
          <w:color w:val="000000"/>
          <w:lang w:val="hu-HU"/>
        </w:rPr>
        <w:t xml:space="preserve"> a vállalkozás folyta</w:t>
      </w:r>
      <w:r w:rsidR="00E817A4">
        <w:rPr>
          <w:color w:val="000000"/>
          <w:lang w:val="hu-HU"/>
        </w:rPr>
        <w:t>tása elvének érvényesülését</w:t>
      </w:r>
      <w:r w:rsidR="008B016C">
        <w:rPr>
          <w:color w:val="000000"/>
          <w:lang w:val="hu-HU"/>
        </w:rPr>
        <w:t xml:space="preserve"> – </w:t>
      </w:r>
      <w:r w:rsidR="00E817A4">
        <w:rPr>
          <w:color w:val="000000"/>
          <w:lang w:val="hu-HU"/>
        </w:rPr>
        <w:t>különös tekintettel a beszámolással érintett időszakban bekövetkezett</w:t>
      </w:r>
      <w:r w:rsidR="00B63F87">
        <w:rPr>
          <w:color w:val="000000"/>
          <w:lang w:val="hu-HU"/>
        </w:rPr>
        <w:t>, illetve a beszámolási időszakot követő költségvetési évre tervezett</w:t>
      </w:r>
      <w:r w:rsidR="00E817A4">
        <w:rPr>
          <w:color w:val="000000"/>
          <w:lang w:val="hu-HU"/>
        </w:rPr>
        <w:t xml:space="preserve"> szervezeti és feladatváltozásokra</w:t>
      </w:r>
      <w:r w:rsidR="008B016C">
        <w:rPr>
          <w:color w:val="000000"/>
          <w:lang w:val="hu-HU"/>
        </w:rPr>
        <w:t xml:space="preserve"> –</w:t>
      </w:r>
      <w:r w:rsidR="00E817A4">
        <w:rPr>
          <w:color w:val="000000"/>
          <w:lang w:val="hu-HU"/>
        </w:rPr>
        <w:t>,</w:t>
      </w:r>
      <w:r w:rsidR="008F4762">
        <w:rPr>
          <w:color w:val="000000"/>
          <w:lang w:val="hu-HU"/>
        </w:rPr>
        <w:t xml:space="preserve"> és az adott helyzetnek megfelelően tegye közzé</w:t>
      </w:r>
      <w:r w:rsidR="00E817A4">
        <w:rPr>
          <w:color w:val="000000"/>
          <w:lang w:val="hu-HU"/>
        </w:rPr>
        <w:t xml:space="preserve"> a vállalkozás folytatás</w:t>
      </w:r>
      <w:r w:rsidR="00320970">
        <w:rPr>
          <w:color w:val="000000"/>
          <w:lang w:val="hu-HU"/>
        </w:rPr>
        <w:t>a</w:t>
      </w:r>
      <w:r w:rsidR="00E817A4">
        <w:rPr>
          <w:color w:val="000000"/>
          <w:lang w:val="hu-HU"/>
        </w:rPr>
        <w:t xml:space="preserve"> elvén</w:t>
      </w:r>
      <w:r w:rsidR="008F4762">
        <w:rPr>
          <w:color w:val="000000"/>
          <w:lang w:val="hu-HU"/>
        </w:rPr>
        <w:t>ek érvényesülésével kapcsolatos információkat,</w:t>
      </w:r>
      <w:r w:rsidR="00320970">
        <w:rPr>
          <w:color w:val="000000"/>
          <w:lang w:val="hu-HU"/>
        </w:rPr>
        <w:t xml:space="preserve"> valamint a vezetés felel a vállalkozás folytatásának elvén alapuló éves költségvetési beszámoló összeállításáért. A vezetésnek a vállalkozás folytatásának elvéből kell kiindulnia, ha ennek az elvnek az érvényesülését eltérő rendelkezés nem akadályozza, illetve a tevékenység folytatásának ellentmondó tényező, körülmény nem áll fenn.</w:t>
      </w:r>
      <w:r w:rsidR="008F4762">
        <w:rPr>
          <w:color w:val="000000"/>
          <w:lang w:val="hu-HU"/>
        </w:rPr>
        <w:t xml:space="preserve"> </w:t>
      </w:r>
      <w:r w:rsidR="00E817A4">
        <w:rPr>
          <w:color w:val="000000"/>
          <w:lang w:val="hu-HU"/>
        </w:rPr>
        <w:t xml:space="preserve"> </w:t>
      </w:r>
    </w:p>
    <w:p w14:paraId="379747B4" w14:textId="77777777" w:rsidR="001E7007" w:rsidRPr="002E4B5B" w:rsidRDefault="001E7007" w:rsidP="001E700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>Az irányítással megbízot</w:t>
      </w:r>
      <w:r w:rsidR="00E817A4">
        <w:rPr>
          <w:spacing w:val="1"/>
          <w:lang w:val="hu-HU"/>
        </w:rPr>
        <w:t>t személyek felelősek az Intézmény</w:t>
      </w:r>
      <w:r w:rsidRPr="002E4B5B">
        <w:rPr>
          <w:spacing w:val="1"/>
          <w:lang w:val="hu-HU"/>
        </w:rPr>
        <w:t xml:space="preserve"> pénzügyi beszámolási folyamatának felügyeletéért.</w:t>
      </w:r>
      <w:r w:rsidRPr="002E4B5B">
        <w:rPr>
          <w:spacing w:val="1"/>
          <w:vertAlign w:val="superscript"/>
          <w:lang w:val="hu-HU"/>
        </w:rPr>
        <w:t xml:space="preserve"> </w:t>
      </w:r>
    </w:p>
    <w:p w14:paraId="41A69922" w14:textId="77777777" w:rsidR="00B00EDC" w:rsidRDefault="00B00EDC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2F4D97E7" w14:textId="77777777" w:rsidR="001E7007" w:rsidRPr="002E4B5B" w:rsidRDefault="00E817A4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 könyvvizsgálatáért való felelőssége</w:t>
      </w:r>
      <w:r w:rsidR="001E7007" w:rsidRPr="002E4B5B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EC937A2" w14:textId="77777777" w:rsidR="001E7007" w:rsidRPr="002E4B5B" w:rsidRDefault="001E7007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ni arról, hogy az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beszámoló egésze nem tartalmaz akár csalásból, akár hibából eredő lényeges hibás állítást,</w:t>
      </w:r>
      <w:r w:rsidRPr="002E4B5B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elhasználók adott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beszámoló alapján meghozott gazdasági döntéseit. </w:t>
      </w:r>
    </w:p>
    <w:p w14:paraId="18681CF8" w14:textId="77777777" w:rsidR="00842AF3" w:rsidRDefault="00842AF3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 szerinti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könyvvizsgálat egésze során 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</w:t>
      </w:r>
      <w:proofErr w:type="spellStart"/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), és szakmai szkeptic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izmust tartok(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fenn.</w:t>
      </w:r>
    </w:p>
    <w:p w14:paraId="6D2C04C6" w14:textId="77777777" w:rsidR="001E7007" w:rsidRPr="002E4B5B" w:rsidRDefault="00842AF3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4CBFFFFD" w14:textId="77777777" w:rsidR="001E7007" w:rsidRPr="002E4B5B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) és f</w:t>
      </w:r>
      <w:r w:rsidR="00842AF3">
        <w:rPr>
          <w:rFonts w:ascii="Times New Roman" w:hAnsi="Times New Roman"/>
          <w:kern w:val="20"/>
          <w:sz w:val="20"/>
          <w:szCs w:val="20"/>
          <w:lang w:val="hu-HU"/>
        </w:rPr>
        <w:t>elmérem</w:t>
      </w:r>
      <w:r w:rsidR="00E817A4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="00E817A4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="00E817A4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 w:rsidR="00E817A4"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beszámoló akár csalásból, akár hibából eredő lényeges hibás állításainak kockázatait,</w:t>
      </w:r>
      <w:r w:rsidR="00842AF3">
        <w:rPr>
          <w:rFonts w:ascii="Times New Roman" w:hAnsi="Times New Roman"/>
          <w:kern w:val="20"/>
          <w:sz w:val="20"/>
          <w:szCs w:val="20"/>
          <w:lang w:val="hu-HU"/>
        </w:rPr>
        <w:t xml:space="preserve"> kialakítom(</w:t>
      </w:r>
      <w:proofErr w:type="spellStart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Pr="002E4B5B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k</w:t>
      </w:r>
      <w:r w:rsidR="00FA39EA">
        <w:rPr>
          <w:rFonts w:ascii="Times New Roman" w:hAnsi="Times New Roman"/>
          <w:kern w:val="20"/>
          <w:sz w:val="20"/>
          <w:szCs w:val="20"/>
          <w:lang w:val="hu-HU"/>
        </w:rPr>
        <w:t>önyvvizsgálati eljárásokat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elegendő és megfelelő könyvvizsgálati bizonyítékot szerzek(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FA39EA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="00FA39EA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FA39EA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</w:t>
      </w:r>
      <w:r w:rsidR="00FA39EA">
        <w:rPr>
          <w:rFonts w:ascii="Times New Roman" w:hAnsi="Times New Roman"/>
          <w:kern w:val="20"/>
          <w:sz w:val="20"/>
          <w:szCs w:val="20"/>
          <w:lang w:val="hu-HU"/>
        </w:rPr>
        <w:t xml:space="preserve"> belső kontroll felülírását.</w:t>
      </w:r>
    </w:p>
    <w:p w14:paraId="7CCC61A7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meg, amelyek az adott körülmények között megfelelőe</w:t>
      </w:r>
      <w:r w:rsidR="00E817A4">
        <w:rPr>
          <w:rFonts w:ascii="Times New Roman" w:hAnsi="Times New Roman"/>
          <w:sz w:val="20"/>
          <w:szCs w:val="20"/>
          <w:lang w:val="hu-HU"/>
        </w:rPr>
        <w:t>k, de nem azért, hogy az Intézmény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</w:t>
      </w:r>
    </w:p>
    <w:p w14:paraId="47CB2E37" w14:textId="77777777" w:rsidR="001E7007" w:rsidRPr="002E4B5B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58B8D935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</w:t>
      </w:r>
      <w:r w:rsidR="00320970">
        <w:rPr>
          <w:rFonts w:ascii="Times New Roman" w:hAnsi="Times New Roman"/>
          <w:sz w:val="20"/>
          <w:szCs w:val="20"/>
          <w:lang w:val="hu-HU"/>
        </w:rPr>
        <w:t xml:space="preserve"> éves költségvetési beszámoló összeállítása, </w:t>
      </w:r>
      <w:r w:rsidRPr="002E4B5B">
        <w:rPr>
          <w:rFonts w:ascii="Times New Roman" w:hAnsi="Times New Roman"/>
          <w:sz w:val="20"/>
          <w:szCs w:val="20"/>
          <w:lang w:val="hu-HU"/>
        </w:rPr>
        <w:t>valamint a megszerzett könyvvizsgálati bizonyíték alapján arról, hogy fennáll-e lényeges bizonytalanság olyan eseményekkel vagy feltételekkel kapcsolatban, amelyek jelentős k</w:t>
      </w:r>
      <w:r w:rsidR="00E817A4">
        <w:rPr>
          <w:rFonts w:ascii="Times New Roman" w:hAnsi="Times New Roman"/>
          <w:sz w:val="20"/>
          <w:szCs w:val="20"/>
          <w:lang w:val="hu-HU"/>
        </w:rPr>
        <w:t xml:space="preserve">étséget vethetnek fel az Intézménynél a vállalkozás folytatása elvének érvényesülését </w:t>
      </w:r>
      <w:r w:rsidR="00E817A4">
        <w:rPr>
          <w:rFonts w:ascii="Times New Roman" w:hAnsi="Times New Roman"/>
          <w:sz w:val="20"/>
          <w:szCs w:val="20"/>
          <w:lang w:val="hu-HU"/>
        </w:rPr>
        <w:lastRenderedPageBreak/>
        <w:t xml:space="preserve">illetően, különös tekintettel </w:t>
      </w:r>
      <w:r w:rsidR="00AD4620">
        <w:rPr>
          <w:rFonts w:ascii="Times New Roman" w:hAnsi="Times New Roman"/>
          <w:sz w:val="20"/>
          <w:szCs w:val="20"/>
          <w:lang w:val="hu-HU"/>
        </w:rPr>
        <w:t xml:space="preserve">a beszámolási időszakban bekövetkezett, illetve a beszámolási időszakot követő költségvetési évre tervezett </w:t>
      </w:r>
      <w:r w:rsidR="00E817A4">
        <w:rPr>
          <w:rFonts w:ascii="Times New Roman" w:hAnsi="Times New Roman"/>
          <w:sz w:val="20"/>
          <w:szCs w:val="20"/>
          <w:lang w:val="hu-HU"/>
        </w:rPr>
        <w:t>szervezeti és feladatváltozásokra.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Amennyiben azt a következtetést vonom(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="007375D8">
        <w:rPr>
          <w:rFonts w:ascii="Times New Roman" w:hAnsi="Times New Roman"/>
          <w:sz w:val="20"/>
          <w:szCs w:val="20"/>
          <w:lang w:val="hu-HU"/>
        </w:rPr>
        <w:t xml:space="preserve">az 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éves </w:t>
      </w:r>
      <w:r w:rsidR="007375D8">
        <w:rPr>
          <w:rFonts w:ascii="Times New Roman" w:hAnsi="Times New Roman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sz w:val="20"/>
          <w:szCs w:val="20"/>
          <w:lang w:val="hu-HU"/>
        </w:rPr>
        <w:t>beszámolóban lévő kapcsolódó közzétételekre, vagy ha a közzétételek e tekintetben nem megfelelőek, minősítenem(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</w:t>
      </w:r>
      <w:r w:rsidR="007375D8">
        <w:rPr>
          <w:rFonts w:ascii="Times New Roman" w:hAnsi="Times New Roman"/>
          <w:sz w:val="20"/>
          <w:szCs w:val="20"/>
          <w:lang w:val="hu-HU"/>
        </w:rPr>
        <w:t xml:space="preserve"> érinthetik az Intézménynél a vállalkozás folytatása elvének érvényesülését. </w:t>
      </w:r>
    </w:p>
    <w:p w14:paraId="4671AF4E" w14:textId="77777777" w:rsidR="00B00EDC" w:rsidRPr="00B00EDC" w:rsidRDefault="001E7007" w:rsidP="00B00EDC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 </w:t>
      </w:r>
      <w:r w:rsidR="00FA39EA">
        <w:rPr>
          <w:rFonts w:ascii="Times New Roman" w:hAnsi="Times New Roman"/>
          <w:kern w:val="20"/>
          <w:sz w:val="20"/>
          <w:szCs w:val="20"/>
          <w:lang w:val="hu-HU"/>
        </w:rPr>
        <w:t>átfogó 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beszámolóban teljesül-e </w:t>
      </w:r>
      <w:r>
        <w:rPr>
          <w:rFonts w:ascii="Times New Roman" w:hAnsi="Times New Roman"/>
          <w:kern w:val="20"/>
          <w:sz w:val="20"/>
          <w:szCs w:val="20"/>
          <w:lang w:val="hu-HU"/>
        </w:rPr>
        <w:t>az alapul szolgáló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ügyletek és események valós bemutatása.</w:t>
      </w:r>
    </w:p>
    <w:p w14:paraId="125F1024" w14:textId="77777777" w:rsidR="00B00EDC" w:rsidRDefault="00B00EDC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>
        <w:rPr>
          <w:rFonts w:ascii="Times New Roman" w:hAnsi="Times New Roman"/>
          <w:kern w:val="20"/>
          <w:sz w:val="20"/>
          <w:szCs w:val="20"/>
          <w:lang w:val="hu-HU"/>
        </w:rPr>
        <w:t>Az irányítással megbízott személyek tudomására hozom(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zuk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– egyéb kérdések mellett – a könyvvizsgálat tervezett hatókörét és ütemezését, a könyvvizsgálat jelentős megállapításait, beleértve az Intézmény által alkalmazott belső kontrollnak a könyvvizsgálatom(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során általam(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azonosított jelentős hiányosságait is, ha voltak ilyenek.</w:t>
      </w:r>
    </w:p>
    <w:p w14:paraId="63FAEF85" w14:textId="77777777" w:rsidR="001E7007" w:rsidRDefault="001E7007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CC3B53B" w14:textId="77777777" w:rsidR="00B00EDC" w:rsidRDefault="00B00EDC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6B0C7232" w14:textId="77777777" w:rsidR="00E27670" w:rsidRDefault="00E27670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5785D93B" w14:textId="77777777" w:rsidR="00B00EDC" w:rsidRDefault="00B00EDC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44EB8A05" w14:textId="77777777" w:rsidR="00E27670" w:rsidRPr="002E4B5B" w:rsidRDefault="00E27670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B1AB6A3" w14:textId="77777777" w:rsidR="001E7007" w:rsidRPr="008B016C" w:rsidRDefault="001E7007" w:rsidP="00D03C67">
      <w:pPr>
        <w:pStyle w:val="Listaszerbekezds"/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iCs/>
          <w:spacing w:val="-2"/>
          <w:sz w:val="20"/>
          <w:lang w:val="hu-HU"/>
        </w:rPr>
      </w:pPr>
    </w:p>
    <w:p w14:paraId="6ADD565E" w14:textId="77777777" w:rsidR="001E7007" w:rsidRPr="00560679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4847351B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6ECD2872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képviselőjének aláírása</w:t>
      </w:r>
      <w:r w:rsidRPr="002E4B5B">
        <w:rPr>
          <w:iCs/>
          <w:spacing w:val="-2"/>
          <w:sz w:val="20"/>
        </w:rPr>
        <w:tab/>
        <w:t>Kamarai tag könyvvizsgáló aláírása</w:t>
      </w:r>
    </w:p>
    <w:p w14:paraId="4F957CDF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Képviseletre jogosult neve</w:t>
      </w:r>
      <w:r w:rsidRPr="002E4B5B">
        <w:rPr>
          <w:iCs/>
          <w:spacing w:val="-2"/>
          <w:sz w:val="20"/>
        </w:rPr>
        <w:tab/>
        <w:t>Kamarai tag könyvvizsgáló neve</w:t>
      </w:r>
    </w:p>
    <w:p w14:paraId="34E460BD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neve</w:t>
      </w:r>
      <w:r w:rsidRPr="002E4B5B">
        <w:rPr>
          <w:iCs/>
          <w:spacing w:val="-2"/>
          <w:sz w:val="20"/>
        </w:rPr>
        <w:tab/>
        <w:t>Nyilvántartási szám</w:t>
      </w:r>
    </w:p>
    <w:p w14:paraId="385FF173" w14:textId="77777777" w:rsidR="001E7007" w:rsidRPr="002E4B5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cégszékhelye</w:t>
      </w:r>
    </w:p>
    <w:p w14:paraId="53BEAADC" w14:textId="77777777" w:rsidR="001E7007" w:rsidRPr="0099071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Nyilvántartási szám</w:t>
      </w:r>
    </w:p>
    <w:p w14:paraId="54AD8AD8" w14:textId="77777777" w:rsidR="008F4ADF" w:rsidRDefault="008F4ADF"/>
    <w:sectPr w:rsidR="008F4ADF" w:rsidSect="00C87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1DAAB" w14:textId="77777777" w:rsidR="0046081F" w:rsidRDefault="0046081F" w:rsidP="00E27670">
      <w:pPr>
        <w:spacing w:after="0" w:line="240" w:lineRule="auto"/>
      </w:pPr>
      <w:r>
        <w:separator/>
      </w:r>
    </w:p>
  </w:endnote>
  <w:endnote w:type="continuationSeparator" w:id="0">
    <w:p w14:paraId="14FD178E" w14:textId="77777777" w:rsidR="0046081F" w:rsidRDefault="0046081F" w:rsidP="00E2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299956"/>
      <w:docPartObj>
        <w:docPartGallery w:val="Page Numbers (Bottom of Page)"/>
        <w:docPartUnique/>
      </w:docPartObj>
    </w:sdtPr>
    <w:sdtEndPr/>
    <w:sdtContent>
      <w:p w14:paraId="02103652" w14:textId="77777777" w:rsidR="00E27670" w:rsidRDefault="00EA49FB">
        <w:pPr>
          <w:pStyle w:val="llb"/>
          <w:jc w:val="right"/>
        </w:pPr>
        <w:r>
          <w:fldChar w:fldCharType="begin"/>
        </w:r>
        <w:r w:rsidR="007728D5">
          <w:instrText xml:space="preserve"> PAGE   \* MERGEFORMAT </w:instrText>
        </w:r>
        <w:r>
          <w:fldChar w:fldCharType="separate"/>
        </w:r>
        <w:r w:rsidR="009850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009F16" w14:textId="77777777" w:rsidR="00E27670" w:rsidRDefault="00E276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460E7" w14:textId="77777777" w:rsidR="0046081F" w:rsidRDefault="0046081F" w:rsidP="00E27670">
      <w:pPr>
        <w:spacing w:after="0" w:line="240" w:lineRule="auto"/>
      </w:pPr>
      <w:r>
        <w:separator/>
      </w:r>
    </w:p>
  </w:footnote>
  <w:footnote w:type="continuationSeparator" w:id="0">
    <w:p w14:paraId="7E412E47" w14:textId="77777777" w:rsidR="0046081F" w:rsidRDefault="0046081F" w:rsidP="00E27670">
      <w:pPr>
        <w:spacing w:after="0" w:line="240" w:lineRule="auto"/>
      </w:pPr>
      <w:r>
        <w:continuationSeparator/>
      </w:r>
    </w:p>
  </w:footnote>
  <w:footnote w:id="1">
    <w:p w14:paraId="732FD690" w14:textId="77777777" w:rsidR="00CE43B2" w:rsidRPr="00985089" w:rsidRDefault="00CE43B2">
      <w:pPr>
        <w:pStyle w:val="Lbjegyzetszveg"/>
        <w:rPr>
          <w:sz w:val="18"/>
          <w:szCs w:val="18"/>
          <w:lang w:val="hu-HU"/>
        </w:rPr>
      </w:pPr>
      <w:r w:rsidRPr="00CE43B2">
        <w:rPr>
          <w:rStyle w:val="Lbjegyzet-hivatkozs"/>
          <w:sz w:val="18"/>
          <w:szCs w:val="18"/>
        </w:rPr>
        <w:footnoteRef/>
      </w:r>
      <w:r w:rsidRPr="00CE43B2">
        <w:rPr>
          <w:sz w:val="18"/>
          <w:szCs w:val="18"/>
        </w:rPr>
        <w:t xml:space="preserve"> </w:t>
      </w:r>
      <w:r w:rsidRPr="00985089">
        <w:rPr>
          <w:rFonts w:ascii="Times New Roman" w:hAnsi="Times New Roman"/>
          <w:spacing w:val="-4"/>
          <w:kern w:val="8"/>
          <w:sz w:val="18"/>
          <w:szCs w:val="18"/>
          <w:lang w:val="hu-HU" w:bidi="he-IL"/>
        </w:rPr>
        <w:t>Az intézmény („az Intézmény”) megjelölés helyett költségvetési szerv („a Költségvetési szerv”) vagy önkormányzat („az Önkormányzat”) megnevezés is alkalmazható a megbízásnak megfelelően</w:t>
      </w:r>
      <w:r w:rsidR="008177B1" w:rsidRPr="00985089">
        <w:rPr>
          <w:rFonts w:ascii="Times New Roman" w:hAnsi="Times New Roman"/>
          <w:spacing w:val="-4"/>
          <w:kern w:val="8"/>
          <w:sz w:val="18"/>
          <w:szCs w:val="18"/>
          <w:lang w:val="hu-HU" w:bidi="he-IL"/>
        </w:rPr>
        <w:t>.</w:t>
      </w:r>
    </w:p>
  </w:footnote>
  <w:footnote w:id="2">
    <w:p w14:paraId="0D475178" w14:textId="77777777" w:rsidR="00CE43B2" w:rsidRPr="00985089" w:rsidRDefault="00CE43B2">
      <w:pPr>
        <w:pStyle w:val="Lbjegyzetszveg"/>
        <w:rPr>
          <w:rFonts w:ascii="Times New Roman" w:hAnsi="Times New Roman"/>
          <w:spacing w:val="-4"/>
          <w:kern w:val="8"/>
          <w:sz w:val="18"/>
          <w:szCs w:val="18"/>
          <w:lang w:val="hu-HU" w:bidi="he-IL"/>
        </w:rPr>
      </w:pPr>
      <w:r w:rsidRPr="00985089">
        <w:rPr>
          <w:rStyle w:val="Lbjegyzet-hivatkozs"/>
          <w:sz w:val="18"/>
          <w:szCs w:val="18"/>
        </w:rPr>
        <w:footnoteRef/>
      </w:r>
      <w:r w:rsidRPr="00985089">
        <w:rPr>
          <w:sz w:val="18"/>
          <w:szCs w:val="18"/>
          <w:lang w:val="hu-HU"/>
        </w:rPr>
        <w:t xml:space="preserve"> </w:t>
      </w:r>
      <w:r w:rsidRPr="00985089">
        <w:rPr>
          <w:rFonts w:ascii="Times New Roman" w:hAnsi="Times New Roman"/>
          <w:spacing w:val="-4"/>
          <w:kern w:val="8"/>
          <w:sz w:val="18"/>
          <w:szCs w:val="18"/>
          <w:lang w:val="hu-HU" w:bidi="he-IL"/>
        </w:rPr>
        <w:t>A költségvetési beszámoló beazonosításához további adatok (teljesített finanszírozási bevételek, összes bevétel, teljesített finanszírozási kiadások, összes kiadás</w:t>
      </w:r>
      <w:r w:rsidR="008177B1" w:rsidRPr="00985089">
        <w:rPr>
          <w:rFonts w:ascii="Times New Roman" w:hAnsi="Times New Roman"/>
          <w:spacing w:val="-4"/>
          <w:kern w:val="8"/>
          <w:sz w:val="18"/>
          <w:szCs w:val="18"/>
          <w:lang w:val="hu-HU" w:bidi="he-IL"/>
        </w:rPr>
        <w:t>)</w:t>
      </w:r>
      <w:r w:rsidRPr="00985089">
        <w:rPr>
          <w:rFonts w:ascii="Times New Roman" w:hAnsi="Times New Roman"/>
          <w:spacing w:val="-4"/>
          <w:kern w:val="8"/>
          <w:sz w:val="18"/>
          <w:szCs w:val="18"/>
          <w:lang w:val="hu-HU" w:bidi="he-IL"/>
        </w:rPr>
        <w:t xml:space="preserve"> is alkalmazhatók.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774A0"/>
    <w:multiLevelType w:val="hybridMultilevel"/>
    <w:tmpl w:val="B98A7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7"/>
    <w:rsid w:val="00010AAD"/>
    <w:rsid w:val="0001238B"/>
    <w:rsid w:val="00053E4A"/>
    <w:rsid w:val="000E3592"/>
    <w:rsid w:val="000E77FC"/>
    <w:rsid w:val="00122D0D"/>
    <w:rsid w:val="00162853"/>
    <w:rsid w:val="00174072"/>
    <w:rsid w:val="001B3177"/>
    <w:rsid w:val="001E7007"/>
    <w:rsid w:val="001F7D3E"/>
    <w:rsid w:val="00265803"/>
    <w:rsid w:val="002B0D30"/>
    <w:rsid w:val="00320970"/>
    <w:rsid w:val="00337A58"/>
    <w:rsid w:val="003D153D"/>
    <w:rsid w:val="0046081F"/>
    <w:rsid w:val="004703AA"/>
    <w:rsid w:val="004A7CB8"/>
    <w:rsid w:val="004B179C"/>
    <w:rsid w:val="004E6423"/>
    <w:rsid w:val="004F6F3E"/>
    <w:rsid w:val="00520C8E"/>
    <w:rsid w:val="00547F7D"/>
    <w:rsid w:val="00555168"/>
    <w:rsid w:val="005B01F2"/>
    <w:rsid w:val="005B15E2"/>
    <w:rsid w:val="00613809"/>
    <w:rsid w:val="00613A66"/>
    <w:rsid w:val="006725BB"/>
    <w:rsid w:val="00691307"/>
    <w:rsid w:val="006A16F9"/>
    <w:rsid w:val="006D4646"/>
    <w:rsid w:val="007241CF"/>
    <w:rsid w:val="007375D8"/>
    <w:rsid w:val="007631ED"/>
    <w:rsid w:val="00771085"/>
    <w:rsid w:val="007728D5"/>
    <w:rsid w:val="007E37F2"/>
    <w:rsid w:val="008177B1"/>
    <w:rsid w:val="00842AF3"/>
    <w:rsid w:val="008529E1"/>
    <w:rsid w:val="008750CB"/>
    <w:rsid w:val="00877C46"/>
    <w:rsid w:val="00880D58"/>
    <w:rsid w:val="008B016C"/>
    <w:rsid w:val="008E1BC0"/>
    <w:rsid w:val="008F4762"/>
    <w:rsid w:val="008F4ADF"/>
    <w:rsid w:val="00907890"/>
    <w:rsid w:val="00911272"/>
    <w:rsid w:val="00916903"/>
    <w:rsid w:val="009827FF"/>
    <w:rsid w:val="00985089"/>
    <w:rsid w:val="009A5674"/>
    <w:rsid w:val="009D3E05"/>
    <w:rsid w:val="00A7601E"/>
    <w:rsid w:val="00A77C5B"/>
    <w:rsid w:val="00AC0793"/>
    <w:rsid w:val="00AD4620"/>
    <w:rsid w:val="00B00EDC"/>
    <w:rsid w:val="00B20467"/>
    <w:rsid w:val="00B21B42"/>
    <w:rsid w:val="00B43A1F"/>
    <w:rsid w:val="00B63F87"/>
    <w:rsid w:val="00C011ED"/>
    <w:rsid w:val="00C13AC3"/>
    <w:rsid w:val="00C55B25"/>
    <w:rsid w:val="00C87070"/>
    <w:rsid w:val="00C95AA7"/>
    <w:rsid w:val="00CD28E9"/>
    <w:rsid w:val="00CD5031"/>
    <w:rsid w:val="00CE43B2"/>
    <w:rsid w:val="00D03C67"/>
    <w:rsid w:val="00D102CC"/>
    <w:rsid w:val="00E27670"/>
    <w:rsid w:val="00E817A4"/>
    <w:rsid w:val="00E84803"/>
    <w:rsid w:val="00EA49FB"/>
    <w:rsid w:val="00F11357"/>
    <w:rsid w:val="00FA194B"/>
    <w:rsid w:val="00F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FF3B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7007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7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7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ParagraphISA400">
    <w:name w:val="Numbered Paragraph ISA 400"/>
    <w:basedOn w:val="Norml"/>
    <w:rsid w:val="001E7007"/>
    <w:pPr>
      <w:tabs>
        <w:tab w:val="right" w:pos="312"/>
        <w:tab w:val="left" w:pos="480"/>
      </w:tabs>
      <w:spacing w:after="0" w:line="280" w:lineRule="exact"/>
      <w:ind w:left="480" w:hanging="480"/>
      <w:jc w:val="both"/>
    </w:pPr>
    <w:rPr>
      <w:rFonts w:ascii="Times New Roman" w:eastAsia="MS Mincho" w:hAnsi="Times New Roman"/>
      <w:kern w:val="1"/>
      <w:sz w:val="24"/>
      <w:szCs w:val="24"/>
      <w:lang w:val="hu-HU" w:bidi="he-IL"/>
    </w:rPr>
  </w:style>
  <w:style w:type="paragraph" w:customStyle="1" w:styleId="Heading2NoSpacebefore">
    <w:name w:val="Heading 2No Space before"/>
    <w:basedOn w:val="Cmsor2"/>
    <w:rsid w:val="001E7007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rsid w:val="001E7007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1E7007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1E7007"/>
    <w:rPr>
      <w:sz w:val="18"/>
      <w:szCs w:val="18"/>
    </w:rPr>
  </w:style>
  <w:style w:type="paragraph" w:customStyle="1" w:styleId="Heading32">
    <w:name w:val="Heading 3/2"/>
    <w:basedOn w:val="Cmsor3"/>
    <w:rsid w:val="001E7007"/>
    <w:pPr>
      <w:keepNext w:val="0"/>
      <w:keepLines w:val="0"/>
      <w:suppressAutoHyphen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color w:val="auto"/>
      <w:sz w:val="20"/>
      <w:szCs w:val="20"/>
      <w:lang w:val="en-US" w:eastAsia="en-US"/>
    </w:rPr>
  </w:style>
  <w:style w:type="paragraph" w:customStyle="1" w:styleId="level2">
    <w:name w:val="level 2"/>
    <w:basedOn w:val="Norml"/>
    <w:rsid w:val="001E7007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lang w:val="en-GB"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27670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7670"/>
    <w:rPr>
      <w:rFonts w:ascii="Calibri" w:eastAsia="Times New Roman" w:hAnsi="Calibri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28D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28D5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28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28D5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8D5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istaszerbekezds">
    <w:name w:val="List Paragraph"/>
    <w:basedOn w:val="Norml"/>
    <w:uiPriority w:val="34"/>
    <w:qFormat/>
    <w:rsid w:val="00FA39E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43B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43B2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CE43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23F3-1732-460D-AA28-B0AF8056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1069</Words>
  <Characters>7383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4</cp:revision>
  <cp:lastPrinted>2017-02-28T09:06:00Z</cp:lastPrinted>
  <dcterms:created xsi:type="dcterms:W3CDTF">2020-09-28T16:15:00Z</dcterms:created>
  <dcterms:modified xsi:type="dcterms:W3CDTF">2020-12-09T16:17:00Z</dcterms:modified>
</cp:coreProperties>
</file>