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6" w:rsidRPr="00567DFA" w:rsidRDefault="006C623C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bookmarkStart w:id="0" w:name="_GoBack"/>
      <w:bookmarkEnd w:id="0"/>
      <w:r>
        <w:rPr>
          <w:rStyle w:val="Kiemels2"/>
          <w:b w:val="0"/>
          <w:color w:val="000000"/>
        </w:rPr>
        <w:t>6</w:t>
      </w:r>
      <w:r w:rsidR="00E01CC6" w:rsidRPr="00567DFA">
        <w:rPr>
          <w:rStyle w:val="Kiemels2"/>
          <w:b w:val="0"/>
          <w:color w:val="000000"/>
        </w:rPr>
        <w:t>. SZÁMÚ MELLÉKLET</w:t>
      </w:r>
    </w:p>
    <w:p w:rsidR="00E01CC6" w:rsidRPr="00567DFA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567DFA">
        <w:t>A szakmai minősítő vizsga szabályzathoz</w:t>
      </w:r>
    </w:p>
    <w:p w:rsidR="00AE07EE" w:rsidRDefault="00AE07EE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</w:p>
    <w:p w:rsidR="00AE07EE" w:rsidRDefault="00AE07EE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</w:p>
    <w:p w:rsidR="00E01CC6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567DFA">
        <w:rPr>
          <w:rStyle w:val="Kiemels2"/>
          <w:caps/>
          <w:color w:val="000000"/>
        </w:rPr>
        <w:t>A</w:t>
      </w:r>
      <w:r w:rsidR="008B6690">
        <w:rPr>
          <w:rStyle w:val="Kiemels2"/>
          <w:caps/>
          <w:color w:val="000000"/>
        </w:rPr>
        <w:t xml:space="preserve"> KÖLTSÉGVETÉSI</w:t>
      </w:r>
      <w:r w:rsidRPr="00567DFA">
        <w:rPr>
          <w:rStyle w:val="Kiemels2"/>
          <w:caps/>
          <w:color w:val="000000"/>
        </w:rPr>
        <w:t xml:space="preserve"> SZAKMAI MINŐSÍTŐ VIZSGA TARTALMI követelményei</w:t>
      </w:r>
    </w:p>
    <w:p w:rsidR="00DB371F" w:rsidRDefault="00DB371F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</w:p>
    <w:p w:rsidR="00DB371F" w:rsidRPr="00567DFA" w:rsidRDefault="00DB371F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</w:p>
    <w:p w:rsidR="00E01CC6" w:rsidRPr="00567DFA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E01CC6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AE07EE" w:rsidRDefault="00AE07EE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AE07EE" w:rsidRPr="00567DFA" w:rsidRDefault="00AE07EE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AE07EE" w:rsidRPr="00BE3364" w:rsidRDefault="00574FB6" w:rsidP="00BE3364">
      <w:pPr>
        <w:numPr>
          <w:ilvl w:val="0"/>
          <w:numId w:val="26"/>
        </w:numPr>
        <w:spacing w:after="0"/>
        <w:rPr>
          <w:iCs/>
          <w:color w:val="000000"/>
        </w:rPr>
      </w:pPr>
      <w:r w:rsidRPr="00574FB6">
        <w:rPr>
          <w:b/>
          <w:iCs/>
          <w:color w:val="000000"/>
          <w:sz w:val="32"/>
          <w:szCs w:val="32"/>
        </w:rPr>
        <w:t>Az államháztartás szervezetei könyvvizsgálatának sajátosság</w:t>
      </w:r>
      <w:r>
        <w:rPr>
          <w:b/>
          <w:iCs/>
          <w:color w:val="000000"/>
          <w:sz w:val="32"/>
          <w:szCs w:val="32"/>
        </w:rPr>
        <w:t>ai</w:t>
      </w:r>
    </w:p>
    <w:p w:rsidR="00BE3364" w:rsidRDefault="00BE3364" w:rsidP="00BE3364">
      <w:pPr>
        <w:spacing w:after="0"/>
        <w:rPr>
          <w:b/>
          <w:iCs/>
          <w:color w:val="000000"/>
          <w:sz w:val="32"/>
          <w:szCs w:val="32"/>
        </w:rPr>
      </w:pPr>
    </w:p>
    <w:p w:rsidR="00BE3364" w:rsidRPr="00DF4CBA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4CBA">
        <w:rPr>
          <w:rFonts w:ascii="Times New Roman" w:hAnsi="Times New Roman"/>
          <w:bCs/>
          <w:color w:val="222222"/>
        </w:rPr>
        <w:t>Az államháztartásra, az állami szektorbeli gazdálkodó egységekre jellemző szempontok a nemzetközi és a magyar nemzeti könyvvizsgálati standardokban.</w:t>
      </w:r>
    </w:p>
    <w:p w:rsidR="002171F2" w:rsidRPr="002171F2" w:rsidRDefault="00BE3364" w:rsidP="00E12998">
      <w:pPr>
        <w:numPr>
          <w:ilvl w:val="0"/>
          <w:numId w:val="25"/>
        </w:numPr>
        <w:spacing w:after="120"/>
        <w:ind w:left="714" w:hanging="357"/>
        <w:rPr>
          <w:iCs/>
          <w:color w:val="000000"/>
        </w:rPr>
      </w:pPr>
      <w:r w:rsidRPr="00DF4CBA">
        <w:rPr>
          <w:rFonts w:ascii="Times New Roman" w:hAnsi="Times New Roman"/>
          <w:bCs/>
          <w:color w:val="222222"/>
        </w:rPr>
        <w:t>Könyvvizsgálati kötelezettség az államháztartásban.</w:t>
      </w:r>
      <w:r w:rsidR="002171F2">
        <w:rPr>
          <w:rFonts w:ascii="Times New Roman" w:hAnsi="Times New Roman"/>
          <w:bCs/>
          <w:color w:val="222222"/>
        </w:rPr>
        <w:t xml:space="preserve"> A könyvvizsgálói megbízás elfogadása az államháztartás egyes szegmenseiben. Az államháztartás szervezeteivel kötött könyvvizsgálati szerződések tartalma</w:t>
      </w:r>
      <w:r w:rsidR="00E76C2D">
        <w:rPr>
          <w:rFonts w:ascii="Times New Roman" w:hAnsi="Times New Roman"/>
          <w:bCs/>
          <w:color w:val="222222"/>
        </w:rPr>
        <w:t>.</w:t>
      </w:r>
      <w:r w:rsidR="002171F2">
        <w:rPr>
          <w:rFonts w:ascii="Times New Roman" w:hAnsi="Times New Roman"/>
          <w:bCs/>
          <w:color w:val="222222"/>
        </w:rPr>
        <w:t xml:space="preserve"> </w:t>
      </w:r>
    </w:p>
    <w:p w:rsidR="00BE3364" w:rsidRPr="00BE3364" w:rsidRDefault="00BE3364" w:rsidP="00E12998">
      <w:pPr>
        <w:numPr>
          <w:ilvl w:val="0"/>
          <w:numId w:val="25"/>
        </w:numPr>
        <w:spacing w:after="120"/>
        <w:ind w:left="714" w:hanging="357"/>
        <w:rPr>
          <w:iCs/>
          <w:color w:val="000000"/>
        </w:rPr>
      </w:pPr>
      <w:r w:rsidRPr="00DF4CBA">
        <w:rPr>
          <w:rFonts w:ascii="Times New Roman" w:hAnsi="Times New Roman"/>
          <w:bCs/>
          <w:color w:val="222222"/>
        </w:rPr>
        <w:t xml:space="preserve"> A költségvetési szerveknél végzett könyvvizsgálói tevékenység sajátosságai és módszere</w:t>
      </w:r>
      <w:r>
        <w:rPr>
          <w:rFonts w:ascii="Times New Roman" w:hAnsi="Times New Roman"/>
          <w:bCs/>
          <w:color w:val="222222"/>
        </w:rPr>
        <w:t>i</w:t>
      </w:r>
      <w:r w:rsidR="004A7F1E">
        <w:rPr>
          <w:rFonts w:ascii="Times New Roman" w:hAnsi="Times New Roman"/>
          <w:bCs/>
          <w:color w:val="222222"/>
        </w:rPr>
        <w:t>, a költségvetési gazdálkodás szabályaival, ille</w:t>
      </w:r>
      <w:r w:rsidR="005C32B4">
        <w:rPr>
          <w:rFonts w:ascii="Times New Roman" w:hAnsi="Times New Roman"/>
          <w:bCs/>
          <w:color w:val="222222"/>
        </w:rPr>
        <w:t>tve az államháztartás számvitelének követelményeivel ös</w:t>
      </w:r>
      <w:r w:rsidR="008568E7">
        <w:rPr>
          <w:rFonts w:ascii="Times New Roman" w:hAnsi="Times New Roman"/>
          <w:bCs/>
          <w:color w:val="222222"/>
        </w:rPr>
        <w:t>s</w:t>
      </w:r>
      <w:r w:rsidR="005C32B4">
        <w:rPr>
          <w:rFonts w:ascii="Times New Roman" w:hAnsi="Times New Roman"/>
          <w:bCs/>
          <w:color w:val="222222"/>
        </w:rPr>
        <w:t>zefüggésben.</w:t>
      </w:r>
      <w:r w:rsidR="008568E7">
        <w:rPr>
          <w:rFonts w:ascii="Times New Roman" w:hAnsi="Times New Roman"/>
          <w:bCs/>
          <w:color w:val="222222"/>
        </w:rPr>
        <w:t xml:space="preserve"> Ágazati jellemzők hatása a könyvvizsgálatra.</w:t>
      </w:r>
      <w:r w:rsidR="004A7F1E">
        <w:rPr>
          <w:rFonts w:ascii="Times New Roman" w:hAnsi="Times New Roman"/>
          <w:bCs/>
          <w:color w:val="222222"/>
        </w:rPr>
        <w:t xml:space="preserve"> </w:t>
      </w:r>
    </w:p>
    <w:p w:rsidR="00BE3364" w:rsidRPr="006C6EDF" w:rsidRDefault="00BE3364" w:rsidP="00E12998">
      <w:pPr>
        <w:numPr>
          <w:ilvl w:val="0"/>
          <w:numId w:val="25"/>
        </w:numPr>
        <w:spacing w:after="120"/>
        <w:ind w:left="714" w:hanging="357"/>
        <w:rPr>
          <w:iCs/>
          <w:color w:val="000000"/>
        </w:rPr>
      </w:pPr>
      <w:r w:rsidRPr="00DF4CBA">
        <w:rPr>
          <w:rFonts w:ascii="Times New Roman" w:hAnsi="Times New Roman"/>
          <w:bCs/>
          <w:color w:val="222222"/>
        </w:rPr>
        <w:t>Az Európai Uniós támogatások felhasználásával kapcsolatos könyvvizsgálói feladatok.</w:t>
      </w:r>
    </w:p>
    <w:p w:rsidR="006C6EDF" w:rsidRPr="00BE3364" w:rsidRDefault="006C6EDF" w:rsidP="00E12998">
      <w:pPr>
        <w:numPr>
          <w:ilvl w:val="0"/>
          <w:numId w:val="25"/>
        </w:numPr>
        <w:spacing w:after="120"/>
        <w:ind w:left="714" w:hanging="357"/>
        <w:rPr>
          <w:iCs/>
          <w:color w:val="000000"/>
        </w:rPr>
      </w:pPr>
      <w:r>
        <w:rPr>
          <w:rFonts w:ascii="Times New Roman" w:hAnsi="Times New Roman"/>
          <w:bCs/>
          <w:color w:val="222222"/>
        </w:rPr>
        <w:t xml:space="preserve">A helyi önkormányzatok megbízásából végzett könyvvizsgálatok sajátos feladatai. Az éves költségvetési beszámoló, illetve a konszolidált beszámoló vizsgálata. </w:t>
      </w:r>
      <w:r w:rsidR="00E76C2D">
        <w:rPr>
          <w:rFonts w:ascii="Times New Roman" w:hAnsi="Times New Roman"/>
          <w:bCs/>
          <w:color w:val="222222"/>
        </w:rPr>
        <w:t>A költségvetési rendelettervezet, v</w:t>
      </w:r>
      <w:r w:rsidR="001735C4">
        <w:rPr>
          <w:rFonts w:ascii="Times New Roman" w:hAnsi="Times New Roman"/>
          <w:bCs/>
          <w:color w:val="222222"/>
        </w:rPr>
        <w:t>a</w:t>
      </w:r>
      <w:r w:rsidR="00E76C2D">
        <w:rPr>
          <w:rFonts w:ascii="Times New Roman" w:hAnsi="Times New Roman"/>
          <w:bCs/>
          <w:color w:val="222222"/>
        </w:rPr>
        <w:t>lamint</w:t>
      </w:r>
      <w:r>
        <w:rPr>
          <w:rFonts w:ascii="Times New Roman" w:hAnsi="Times New Roman"/>
          <w:bCs/>
          <w:color w:val="222222"/>
        </w:rPr>
        <w:t xml:space="preserve"> a zárszámadási rendelettervezet vizsgálata és véleményezése.</w:t>
      </w:r>
    </w:p>
    <w:p w:rsidR="00BE3364" w:rsidRPr="00DF4CBA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4CBA">
        <w:rPr>
          <w:rFonts w:ascii="Times New Roman" w:hAnsi="Times New Roman"/>
          <w:bCs/>
          <w:color w:val="222222"/>
        </w:rPr>
        <w:t xml:space="preserve">Az államháztartásban végzett könyvvizsgálói tevékenység tervezése.  Kockázatbecslés. Lényegesség a tervezésben és </w:t>
      </w:r>
      <w:r w:rsidR="001017EB">
        <w:rPr>
          <w:rFonts w:ascii="Times New Roman" w:hAnsi="Times New Roman"/>
          <w:bCs/>
          <w:color w:val="222222"/>
        </w:rPr>
        <w:t xml:space="preserve">a </w:t>
      </w:r>
      <w:r w:rsidRPr="00DF4CBA">
        <w:rPr>
          <w:rFonts w:ascii="Times New Roman" w:hAnsi="Times New Roman"/>
          <w:bCs/>
          <w:color w:val="222222"/>
        </w:rPr>
        <w:t>végrehajtásban.</w:t>
      </w:r>
      <w:r w:rsidR="006C6EDF">
        <w:rPr>
          <w:rFonts w:ascii="Times New Roman" w:hAnsi="Times New Roman"/>
          <w:bCs/>
          <w:color w:val="222222"/>
        </w:rPr>
        <w:t xml:space="preserve"> A lényegességi küszöb megállapítása.</w:t>
      </w:r>
      <w:r w:rsidRPr="00DF4CBA">
        <w:rPr>
          <w:rFonts w:ascii="Times New Roman" w:hAnsi="Times New Roman"/>
          <w:bCs/>
          <w:color w:val="222222"/>
        </w:rPr>
        <w:t xml:space="preserve"> Az éves könyvvizsgálói munka szakaszai.</w:t>
      </w:r>
      <w:r w:rsidR="006C6EDF">
        <w:rPr>
          <w:rFonts w:ascii="Times New Roman" w:hAnsi="Times New Roman"/>
          <w:bCs/>
          <w:color w:val="222222"/>
        </w:rPr>
        <w:t xml:space="preserve"> A könyvvizsgálati munkaprogram kialakításának sajátosságai az államháztartásban.</w:t>
      </w:r>
    </w:p>
    <w:p w:rsidR="00BE3364" w:rsidRPr="00DF4CBA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4CBA">
        <w:rPr>
          <w:rFonts w:ascii="Times New Roman" w:hAnsi="Times New Roman"/>
          <w:bCs/>
          <w:color w:val="222222"/>
        </w:rPr>
        <w:t>Rendszervizsgálatok az államháztartás szervezetei könyvvizsgálata során. A belső kontrollrendszer kockázatainak felmérése. A számviteli és informatikai rendszer vizsgálata.</w:t>
      </w:r>
    </w:p>
    <w:p w:rsidR="00BE3364" w:rsidRPr="00DF4CBA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4CBA">
        <w:rPr>
          <w:rFonts w:ascii="Times New Roman" w:hAnsi="Times New Roman"/>
          <w:bCs/>
          <w:color w:val="222222"/>
        </w:rPr>
        <w:t>A gazdasági események, tranzakciók vizsgálata a költségvetési szférában, különös tekintettel az államháztartásban felmerülő eg</w:t>
      </w:r>
      <w:r w:rsidR="001017EB">
        <w:rPr>
          <w:rFonts w:ascii="Times New Roman" w:hAnsi="Times New Roman"/>
          <w:bCs/>
          <w:color w:val="222222"/>
        </w:rPr>
        <w:t xml:space="preserve">yes gazdasági események </w:t>
      </w:r>
      <w:r w:rsidRPr="00DF4CBA">
        <w:rPr>
          <w:rFonts w:ascii="Times New Roman" w:hAnsi="Times New Roman"/>
          <w:bCs/>
          <w:color w:val="222222"/>
        </w:rPr>
        <w:t xml:space="preserve"> elszám</w:t>
      </w:r>
      <w:r w:rsidR="001017EB">
        <w:rPr>
          <w:rFonts w:ascii="Times New Roman" w:hAnsi="Times New Roman"/>
          <w:bCs/>
          <w:color w:val="222222"/>
        </w:rPr>
        <w:t>olására</w:t>
      </w:r>
      <w:r w:rsidR="004A7F1E">
        <w:rPr>
          <w:rFonts w:ascii="Times New Roman" w:hAnsi="Times New Roman"/>
          <w:bCs/>
          <w:color w:val="222222"/>
        </w:rPr>
        <w:t xml:space="preserve"> a költségvetési és a pénzügyi számvitelben</w:t>
      </w:r>
      <w:r w:rsidRPr="00DF4CBA">
        <w:rPr>
          <w:rFonts w:ascii="Times New Roman" w:hAnsi="Times New Roman"/>
          <w:bCs/>
          <w:color w:val="222222"/>
        </w:rPr>
        <w:t xml:space="preserve">. A zárlati munkákkal kapcsolatos feladatok az államháztartás szervezetei </w:t>
      </w:r>
      <w:r w:rsidRPr="00DF4CBA">
        <w:rPr>
          <w:rFonts w:ascii="Times New Roman" w:hAnsi="Times New Roman"/>
          <w:bCs/>
          <w:color w:val="222222"/>
        </w:rPr>
        <w:lastRenderedPageBreak/>
        <w:t>könyvvizsgálatában.</w:t>
      </w:r>
      <w:r w:rsidR="004A7F1E">
        <w:rPr>
          <w:rFonts w:ascii="Times New Roman" w:hAnsi="Times New Roman"/>
          <w:bCs/>
          <w:color w:val="222222"/>
        </w:rPr>
        <w:t xml:space="preserve"> Elemző mun</w:t>
      </w:r>
      <w:r w:rsidR="00E76C2D">
        <w:rPr>
          <w:rFonts w:ascii="Times New Roman" w:hAnsi="Times New Roman"/>
          <w:bCs/>
          <w:color w:val="222222"/>
        </w:rPr>
        <w:t>ka a</w:t>
      </w:r>
      <w:r w:rsidR="00477C30">
        <w:rPr>
          <w:rFonts w:ascii="Times New Roman" w:hAnsi="Times New Roman"/>
          <w:bCs/>
          <w:color w:val="222222"/>
        </w:rPr>
        <w:t xml:space="preserve"> közszféra</w:t>
      </w:r>
      <w:r w:rsidR="004A7F1E">
        <w:rPr>
          <w:rFonts w:ascii="Times New Roman" w:hAnsi="Times New Roman"/>
          <w:bCs/>
          <w:color w:val="222222"/>
        </w:rPr>
        <w:t xml:space="preserve"> könyvvizsgálatában és annak hasznosítása, prezentációja.</w:t>
      </w:r>
    </w:p>
    <w:p w:rsidR="00BE3364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K</w:t>
      </w:r>
      <w:r w:rsidRPr="00DF4CBA">
        <w:rPr>
          <w:rFonts w:ascii="Times New Roman" w:hAnsi="Times New Roman"/>
          <w:bCs/>
          <w:color w:val="222222"/>
        </w:rPr>
        <w:t>önyvvizsgálói vélemény kialakítás</w:t>
      </w:r>
      <w:r w:rsidR="004A7F1E">
        <w:rPr>
          <w:rFonts w:ascii="Times New Roman" w:hAnsi="Times New Roman"/>
          <w:bCs/>
          <w:color w:val="222222"/>
        </w:rPr>
        <w:t>a</w:t>
      </w:r>
      <w:r w:rsidRPr="00DF4CBA">
        <w:rPr>
          <w:rFonts w:ascii="Times New Roman" w:hAnsi="Times New Roman"/>
          <w:bCs/>
          <w:color w:val="222222"/>
        </w:rPr>
        <w:t xml:space="preserve"> az államháztartás szervezeteiné</w:t>
      </w:r>
      <w:r w:rsidR="00477C30">
        <w:rPr>
          <w:rFonts w:ascii="Times New Roman" w:hAnsi="Times New Roman"/>
          <w:bCs/>
          <w:color w:val="222222"/>
        </w:rPr>
        <w:t>l végzett könyvvizsgálatok keretében</w:t>
      </w:r>
      <w:r w:rsidRPr="00DF4CBA">
        <w:rPr>
          <w:rFonts w:ascii="Times New Roman" w:hAnsi="Times New Roman"/>
          <w:bCs/>
          <w:color w:val="222222"/>
        </w:rPr>
        <w:t>. Jelentéskészítés</w:t>
      </w:r>
      <w:r w:rsidR="004A7F1E">
        <w:rPr>
          <w:rFonts w:ascii="Times New Roman" w:hAnsi="Times New Roman"/>
          <w:bCs/>
          <w:color w:val="222222"/>
        </w:rPr>
        <w:t xml:space="preserve"> és az azt megalapozó munka a költségvetési szerveknél végzett könyvvizsgálatok során.</w:t>
      </w:r>
      <w:r w:rsidR="005C32B4">
        <w:rPr>
          <w:rFonts w:ascii="Times New Roman" w:hAnsi="Times New Roman"/>
          <w:bCs/>
          <w:color w:val="222222"/>
        </w:rPr>
        <w:t xml:space="preserve"> A jelentés kiegészítése, a vezetői levél szerepe, alkalmazása.</w:t>
      </w:r>
      <w:r w:rsidRPr="00DF4CBA">
        <w:rPr>
          <w:rFonts w:ascii="Times New Roman" w:hAnsi="Times New Roman"/>
          <w:bCs/>
          <w:color w:val="222222"/>
        </w:rPr>
        <w:t xml:space="preserve"> Könyvvizsgálati </w:t>
      </w:r>
      <w:r w:rsidR="004A7F1E">
        <w:rPr>
          <w:rFonts w:ascii="Times New Roman" w:hAnsi="Times New Roman"/>
          <w:bCs/>
          <w:color w:val="222222"/>
        </w:rPr>
        <w:t xml:space="preserve">bizonyítékok, </w:t>
      </w:r>
      <w:r w:rsidR="001735C4">
        <w:rPr>
          <w:rFonts w:ascii="Times New Roman" w:hAnsi="Times New Roman"/>
          <w:bCs/>
          <w:color w:val="222222"/>
        </w:rPr>
        <w:t>sajátos</w:t>
      </w:r>
      <w:r w:rsidR="005C32B4">
        <w:rPr>
          <w:rFonts w:ascii="Times New Roman" w:hAnsi="Times New Roman"/>
          <w:bCs/>
          <w:color w:val="222222"/>
        </w:rPr>
        <w:t xml:space="preserve"> </w:t>
      </w:r>
      <w:r w:rsidR="004A7F1E">
        <w:rPr>
          <w:rFonts w:ascii="Times New Roman" w:hAnsi="Times New Roman"/>
          <w:bCs/>
          <w:color w:val="222222"/>
        </w:rPr>
        <w:t>dokumentáció</w:t>
      </w:r>
      <w:r w:rsidR="001735C4">
        <w:rPr>
          <w:rFonts w:ascii="Times New Roman" w:hAnsi="Times New Roman"/>
          <w:bCs/>
          <w:color w:val="222222"/>
        </w:rPr>
        <w:t>k</w:t>
      </w:r>
      <w:r w:rsidR="004A7F1E">
        <w:rPr>
          <w:rFonts w:ascii="Times New Roman" w:hAnsi="Times New Roman"/>
          <w:bCs/>
          <w:color w:val="222222"/>
        </w:rPr>
        <w:t xml:space="preserve"> az államháztartás könyvvizsgálatában.</w:t>
      </w:r>
    </w:p>
    <w:p w:rsidR="005C32B4" w:rsidRPr="00DF4CBA" w:rsidRDefault="005C32B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Kommunikáció az államháztartás szervezeteinél ellátott</w:t>
      </w:r>
      <w:r w:rsidR="00477C30">
        <w:rPr>
          <w:rFonts w:ascii="Times New Roman" w:hAnsi="Times New Roman"/>
          <w:bCs/>
          <w:color w:val="222222"/>
        </w:rPr>
        <w:t xml:space="preserve"> könyvvizsgálói feladatok során, beleértve az irányító és ellenőrző szerveket is.</w:t>
      </w:r>
      <w:r>
        <w:rPr>
          <w:rFonts w:ascii="Times New Roman" w:hAnsi="Times New Roman"/>
          <w:bCs/>
          <w:color w:val="222222"/>
        </w:rPr>
        <w:t xml:space="preserve"> A kapcsolattartás rendszeressége, részvétel fórumokon, helyi önkormányzatoknál testületi, bizottsági üléseken. Írás</w:t>
      </w:r>
      <w:r w:rsidR="008568E7">
        <w:rPr>
          <w:rFonts w:ascii="Times New Roman" w:hAnsi="Times New Roman"/>
          <w:bCs/>
          <w:color w:val="222222"/>
        </w:rPr>
        <w:t xml:space="preserve">beliség és verbális </w:t>
      </w:r>
      <w:r>
        <w:rPr>
          <w:rFonts w:ascii="Times New Roman" w:hAnsi="Times New Roman"/>
          <w:bCs/>
          <w:color w:val="222222"/>
        </w:rPr>
        <w:t>kommunikáció.</w:t>
      </w:r>
    </w:p>
    <w:p w:rsidR="00BE3364" w:rsidRPr="00DF4CBA" w:rsidRDefault="00BE3364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4CBA">
        <w:rPr>
          <w:rFonts w:ascii="Times New Roman" w:hAnsi="Times New Roman"/>
          <w:bCs/>
          <w:color w:val="222222"/>
        </w:rPr>
        <w:t>Minőségbiztosítás, minőség-ellenőrzés az államháztartás területén teljesített könyvvizsgálói megbízásoknál.</w:t>
      </w:r>
      <w:r w:rsidR="008568E7">
        <w:rPr>
          <w:rFonts w:ascii="Times New Roman" w:hAnsi="Times New Roman"/>
          <w:bCs/>
          <w:color w:val="222222"/>
        </w:rPr>
        <w:t xml:space="preserve"> Belső minőségellenőr kijelölése, az ellenőr szerepe, munkakapcsolatok a belső minőségellenőrrel.</w:t>
      </w:r>
    </w:p>
    <w:p w:rsidR="00BE3364" w:rsidRDefault="00BE3364" w:rsidP="00BE3364">
      <w:pPr>
        <w:spacing w:after="0"/>
        <w:ind w:left="360"/>
        <w:rPr>
          <w:iCs/>
          <w:color w:val="000000"/>
        </w:rPr>
      </w:pPr>
    </w:p>
    <w:p w:rsidR="00BE3364" w:rsidRPr="0011165F" w:rsidRDefault="00BE3364" w:rsidP="00BE3364">
      <w:pPr>
        <w:ind w:left="360"/>
        <w:rPr>
          <w:rFonts w:ascii="Times New Roman" w:hAnsi="Times New Roman"/>
          <w:b/>
          <w:sz w:val="32"/>
          <w:szCs w:val="32"/>
        </w:rPr>
      </w:pPr>
      <w:r w:rsidRPr="0011165F">
        <w:rPr>
          <w:rFonts w:ascii="Times New Roman" w:hAnsi="Times New Roman"/>
          <w:b/>
          <w:sz w:val="32"/>
          <w:szCs w:val="32"/>
        </w:rPr>
        <w:t xml:space="preserve">2. </w:t>
      </w:r>
      <w:r w:rsidRPr="00E12998">
        <w:rPr>
          <w:b/>
          <w:iCs/>
          <w:color w:val="000000"/>
          <w:sz w:val="32"/>
          <w:szCs w:val="32"/>
        </w:rPr>
        <w:t>Az államháztartás rendszere</w:t>
      </w:r>
    </w:p>
    <w:p w:rsidR="00BE3364" w:rsidRDefault="00BE3364" w:rsidP="00BE3364">
      <w:pPr>
        <w:spacing w:after="0"/>
        <w:ind w:left="360"/>
        <w:rPr>
          <w:iCs/>
          <w:color w:val="000000"/>
        </w:rPr>
      </w:pP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közpénzek fogalma. A közfeladatok köre. A közfeladatok ellátása. A közteherviselés alapvető szabályai.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államháztartás alrendszerei. Az államháztartás alrendszerei működtetésének alapvető szabályai.</w:t>
      </w:r>
    </w:p>
    <w:p w:rsidR="00BE3364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tervezés, gazdálkodás és beszámolás alapvető szabályai az államháztartásban. Az államháztartás bevételei és kiadásai.</w:t>
      </w:r>
      <w:r w:rsidR="008568E7">
        <w:rPr>
          <w:rFonts w:ascii="Times New Roman" w:hAnsi="Times New Roman"/>
          <w:bCs/>
          <w:color w:val="222222"/>
        </w:rPr>
        <w:t xml:space="preserve"> </w:t>
      </w:r>
      <w:r w:rsidR="00477C30">
        <w:rPr>
          <w:rFonts w:ascii="Times New Roman" w:hAnsi="Times New Roman"/>
          <w:bCs/>
          <w:color w:val="222222"/>
        </w:rPr>
        <w:t>Költségvetési bevételek és költségvetési kiadások.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központi költségvetés előkészítése</w:t>
      </w:r>
      <w:r w:rsidR="00477C30">
        <w:rPr>
          <w:rFonts w:ascii="Times New Roman" w:hAnsi="Times New Roman"/>
          <w:bCs/>
          <w:color w:val="222222"/>
        </w:rPr>
        <w:t xml:space="preserve">. </w:t>
      </w:r>
      <w:r w:rsidRPr="00DF2D15">
        <w:rPr>
          <w:rFonts w:ascii="Times New Roman" w:hAnsi="Times New Roman"/>
          <w:bCs/>
          <w:color w:val="222222"/>
        </w:rPr>
        <w:t>A központi költségvetésről szóló törvény szerkezete és tartalma. A központi költségvetésről szóló törvény elfogadása</w:t>
      </w:r>
      <w:r w:rsidRPr="00E12998">
        <w:rPr>
          <w:rFonts w:ascii="Times New Roman" w:hAnsi="Times New Roman"/>
          <w:bCs/>
          <w:color w:val="222222"/>
        </w:rPr>
        <w:t xml:space="preserve">. </w:t>
      </w:r>
      <w:r w:rsidRPr="00DF2D15">
        <w:rPr>
          <w:rFonts w:ascii="Times New Roman" w:hAnsi="Times New Roman"/>
          <w:bCs/>
          <w:color w:val="222222"/>
        </w:rPr>
        <w:t>A költségvetés elfogadását követő feladatok.</w:t>
      </w:r>
    </w:p>
    <w:p w:rsidR="00D13110" w:rsidRPr="00DF2D15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kormányzati funkciók, államháztartási szakfeladatok és szakágazatok osztályozási rendje.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államháztartás finanszírozási rendszere. Az államháztartás központi alrendszerébe tartozó költségvetési szervek és a fejezeti kezelésű előirányzatok finanszírozása. Az elkülönített állami pénzalapok és a társadalombiztosítás pénzügyi alapjainak finanszírozása. Az államháztartás önkormányzati alrendszerének finanszírozási rendje.</w:t>
      </w:r>
      <w:r w:rsidR="00E76C2D">
        <w:rPr>
          <w:rFonts w:ascii="Times New Roman" w:hAnsi="Times New Roman"/>
          <w:bCs/>
          <w:color w:val="222222"/>
        </w:rPr>
        <w:t xml:space="preserve"> Adósságot kele</w:t>
      </w:r>
      <w:r w:rsidR="00477C30">
        <w:rPr>
          <w:rFonts w:ascii="Times New Roman" w:hAnsi="Times New Roman"/>
          <w:bCs/>
          <w:color w:val="222222"/>
        </w:rPr>
        <w:t xml:space="preserve">tkeztető ügyletek engedélyezésének </w:t>
      </w:r>
      <w:r w:rsidR="001017EB">
        <w:rPr>
          <w:rFonts w:ascii="Times New Roman" w:hAnsi="Times New Roman"/>
          <w:bCs/>
          <w:color w:val="222222"/>
        </w:rPr>
        <w:t>eljárási szabályai</w:t>
      </w:r>
      <w:r w:rsidR="00E76C2D">
        <w:rPr>
          <w:rFonts w:ascii="Times New Roman" w:hAnsi="Times New Roman"/>
          <w:bCs/>
          <w:color w:val="222222"/>
        </w:rPr>
        <w:t>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Kezesség-, garanciavállalás, követelések az államháztartásban. Kezesség-</w:t>
      </w:r>
      <w:r w:rsidR="001017EB">
        <w:rPr>
          <w:rFonts w:ascii="Times New Roman" w:hAnsi="Times New Roman"/>
          <w:bCs/>
          <w:color w:val="222222"/>
        </w:rPr>
        <w:t xml:space="preserve"> </w:t>
      </w:r>
      <w:r w:rsidRPr="00E12998">
        <w:rPr>
          <w:rFonts w:ascii="Times New Roman" w:hAnsi="Times New Roman"/>
          <w:bCs/>
          <w:color w:val="222222"/>
        </w:rPr>
        <w:t>és garanciavállalás az államháztartás önkormányzati alrendszerében.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államadósság fogalma, számítása.  Az adósságcsökkentés.</w:t>
      </w:r>
      <w:r w:rsidRPr="00E12998">
        <w:rPr>
          <w:rFonts w:ascii="Times New Roman" w:hAnsi="Times New Roman"/>
          <w:bCs/>
          <w:color w:val="222222"/>
        </w:rPr>
        <w:br/>
        <w:t>Az államadósság keletkezését és növekedését korlátozó szabályok. Az Államadósság Kezelő Központ jogállása, feladatai.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Költségvetési Tanács. A Költségvetési Tanács tagjai.  A Költségvetési Tanács feladata, hatásköre, működésének szabályai.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lastRenderedPageBreak/>
        <w:t>Az államháztartás információs rendszerének funkciója, felépítése. A törzskönyvi nyilvántartás. Kincstári adatkezelés. Adatszolgáltatási kötelezettségek.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kincstári rendszer. A Kincstári Egységes Számla. A Magyar Államkincstár által vezetett számlák. Likviditás kezelés. Számlavezetés az államháztartás ön</w:t>
      </w:r>
      <w:r w:rsidR="00E701EE">
        <w:rPr>
          <w:rFonts w:ascii="Times New Roman" w:hAnsi="Times New Roman"/>
          <w:bCs/>
          <w:color w:val="222222"/>
        </w:rPr>
        <w:t>-</w:t>
      </w:r>
      <w:r w:rsidRPr="00DF2D15">
        <w:rPr>
          <w:rFonts w:ascii="Times New Roman" w:hAnsi="Times New Roman"/>
          <w:bCs/>
          <w:color w:val="222222"/>
        </w:rPr>
        <w:t xml:space="preserve"> kormányzati rendszerében.</w:t>
      </w:r>
      <w:r w:rsidR="00E701EE">
        <w:rPr>
          <w:rFonts w:ascii="Times New Roman" w:hAnsi="Times New Roman"/>
          <w:bCs/>
          <w:color w:val="222222"/>
        </w:rPr>
        <w:t xml:space="preserve"> </w:t>
      </w:r>
      <w:r w:rsidRPr="00DF2D15">
        <w:rPr>
          <w:rFonts w:ascii="Times New Roman" w:hAnsi="Times New Roman"/>
          <w:bCs/>
          <w:color w:val="222222"/>
        </w:rPr>
        <w:t>Kontrollok és ellenőrzési funkciók a kincstári tevékenységében.</w:t>
      </w:r>
    </w:p>
    <w:p w:rsidR="00D13110" w:rsidRPr="00DA3C6C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</w:rPr>
      </w:pPr>
      <w:r w:rsidRPr="00E12998">
        <w:rPr>
          <w:rFonts w:ascii="Times New Roman" w:hAnsi="Times New Roman"/>
          <w:bCs/>
          <w:color w:val="222222"/>
        </w:rPr>
        <w:t>A nemzeti vagyon fogalomkörébe tartozó egyes vagyontípusok. A nemzeti vagyonnal való felelős gazdálkodás.    Az állami vagyon. Az állami vagyonnal való gazdálkodás sajátos államháztartási szabályai. Az önkormányzati vagyon. A nemz</w:t>
      </w:r>
      <w:r w:rsidR="00477C30">
        <w:rPr>
          <w:rFonts w:ascii="Times New Roman" w:hAnsi="Times New Roman"/>
          <w:bCs/>
          <w:color w:val="222222"/>
        </w:rPr>
        <w:t>eti vagyon megőrzése és védelme. A</w:t>
      </w:r>
      <w:r w:rsidRPr="00E12998">
        <w:rPr>
          <w:rFonts w:ascii="Times New Roman" w:hAnsi="Times New Roman"/>
          <w:bCs/>
          <w:color w:val="222222"/>
        </w:rPr>
        <w:t xml:space="preserve"> vagyongazdálkodás alapelvei. A nemzeti vagyon kezelése, hasznosítása.</w:t>
      </w:r>
    </w:p>
    <w:p w:rsidR="00D13110" w:rsidRDefault="00D13110" w:rsidP="00D13110">
      <w:pPr>
        <w:spacing w:after="0"/>
        <w:ind w:left="360"/>
        <w:rPr>
          <w:iCs/>
          <w:color w:val="000000"/>
        </w:rPr>
      </w:pPr>
    </w:p>
    <w:p w:rsidR="00200955" w:rsidRPr="003F1808" w:rsidRDefault="00D13110" w:rsidP="003F1808">
      <w:pPr>
        <w:pStyle w:val="Listaszerbekezds"/>
        <w:numPr>
          <w:ilvl w:val="0"/>
          <w:numId w:val="35"/>
        </w:numPr>
        <w:spacing w:after="0"/>
        <w:rPr>
          <w:b/>
          <w:iCs/>
          <w:color w:val="000000"/>
          <w:sz w:val="32"/>
          <w:szCs w:val="32"/>
        </w:rPr>
      </w:pPr>
      <w:r w:rsidRPr="003F1808">
        <w:rPr>
          <w:b/>
          <w:iCs/>
          <w:color w:val="000000"/>
          <w:sz w:val="32"/>
          <w:szCs w:val="32"/>
        </w:rPr>
        <w:t>Az államháztartás szervezeteinek működése és</w:t>
      </w:r>
      <w:r w:rsidR="00200955" w:rsidRPr="003F1808">
        <w:rPr>
          <w:b/>
          <w:iCs/>
          <w:color w:val="000000"/>
          <w:sz w:val="32"/>
          <w:szCs w:val="32"/>
        </w:rPr>
        <w:t xml:space="preserve">    </w:t>
      </w:r>
      <w:r w:rsidRPr="003F1808">
        <w:rPr>
          <w:b/>
          <w:iCs/>
          <w:color w:val="000000"/>
          <w:sz w:val="32"/>
          <w:szCs w:val="32"/>
        </w:rPr>
        <w:t xml:space="preserve"> </w:t>
      </w:r>
      <w:r w:rsidR="00200955" w:rsidRPr="003F1808">
        <w:rPr>
          <w:b/>
          <w:iCs/>
          <w:color w:val="000000"/>
          <w:sz w:val="32"/>
          <w:szCs w:val="32"/>
        </w:rPr>
        <w:t xml:space="preserve">     </w:t>
      </w:r>
    </w:p>
    <w:p w:rsidR="00D13110" w:rsidRPr="003F1808" w:rsidRDefault="003F1808" w:rsidP="003F1808">
      <w:pPr>
        <w:spacing w:after="0"/>
        <w:ind w:left="360"/>
        <w:rPr>
          <w:rFonts w:ascii="Times New Roman" w:hAnsi="Times New Roman"/>
          <w:bCs/>
          <w:color w:val="222222"/>
        </w:rPr>
      </w:pPr>
      <w:r>
        <w:rPr>
          <w:b/>
          <w:iCs/>
          <w:color w:val="000000"/>
          <w:sz w:val="32"/>
          <w:szCs w:val="32"/>
        </w:rPr>
        <w:t xml:space="preserve">     </w:t>
      </w:r>
      <w:r w:rsidR="00D13110" w:rsidRPr="003F1808">
        <w:rPr>
          <w:b/>
          <w:iCs/>
          <w:color w:val="000000"/>
          <w:sz w:val="32"/>
          <w:szCs w:val="32"/>
        </w:rPr>
        <w:t>gazdálkodása</w:t>
      </w:r>
    </w:p>
    <w:p w:rsidR="00D13110" w:rsidRDefault="00D13110" w:rsidP="00D13110">
      <w:pPr>
        <w:spacing w:after="0"/>
        <w:ind w:left="360"/>
        <w:rPr>
          <w:iCs/>
          <w:color w:val="000000"/>
        </w:rPr>
      </w:pP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költségvetési szerv fogalma, tevékenysége. Alaptevékenység és vállalkozási tevékenység az államháztartás szervezeteinél. A költségvetési szerv alapítása. A költségvetési szerv átalakítása, megszüntetése.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 xml:space="preserve">A költségvetési szerv irányítása, felügyelete. A költségvetési szerv szervezete, működése és képviselete. </w:t>
      </w:r>
    </w:p>
    <w:p w:rsidR="00D13110" w:rsidRPr="00DA3C6C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költségvetési szervek belső szabályzatainak rendszere. A működés és gazdálkodás alapvető szabályzatai. Az államháztartási törvény végrehajtásáról szóló kormányrendeletben előirt szabályzatok. Számviteli szabályzatok. A belső kontrollrendszer szabályzatai.</w:t>
      </w:r>
    </w:p>
    <w:p w:rsidR="00590E11" w:rsidRPr="008568E7" w:rsidRDefault="00D13110" w:rsidP="008568E7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költségvetési gazdálkodás horizontális folyamatai. Létszámgazdálkodás, munkaerő-gazdálkodás, személyi juttatások, illetményszámfejtés. Központi illetményszámfejtés.</w:t>
      </w:r>
      <w:r w:rsidR="008568E7">
        <w:rPr>
          <w:rFonts w:ascii="Times New Roman" w:hAnsi="Times New Roman"/>
          <w:bCs/>
          <w:color w:val="222222"/>
        </w:rPr>
        <w:t xml:space="preserve"> </w:t>
      </w:r>
      <w:r w:rsidR="00590E11" w:rsidRPr="008568E7">
        <w:rPr>
          <w:rFonts w:ascii="Times New Roman" w:hAnsi="Times New Roman"/>
          <w:bCs/>
          <w:color w:val="222222"/>
        </w:rPr>
        <w:t>A működés tárgyi feltételeinek biztosítása az államháztartás szervezeteinél. Beruházás, felújítás, karbantartás. A készletgazdálkodás célja és feladatai.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költségvetési gazdálkodás vertikális folyamatai. Kötelezettségvállalás, pénzügyi ellenjegyzés az államháztartásban.  A teljesítés igazolása, érvényesítés, utalványozás.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helyi önkormányzás általános szabályai. Önkormányzati feladat- és hatáskörök.</w:t>
      </w:r>
      <w:r w:rsidR="00477C30">
        <w:rPr>
          <w:rFonts w:ascii="Times New Roman" w:hAnsi="Times New Roman"/>
          <w:bCs/>
          <w:color w:val="222222"/>
        </w:rPr>
        <w:t xml:space="preserve"> Kötelező és önként vállalt önkormányzati feladatok.</w:t>
      </w:r>
      <w:r w:rsidRPr="00E12998">
        <w:rPr>
          <w:rFonts w:ascii="Times New Roman" w:hAnsi="Times New Roman"/>
          <w:bCs/>
          <w:color w:val="222222"/>
        </w:rPr>
        <w:t xml:space="preserve">  Államigazgatási feladat- és hatáskörök. A helyi önkormányzatok szervei és működésük. A helyi önkormányzatok társulásai</w:t>
      </w:r>
      <w:r w:rsidR="00477C30">
        <w:rPr>
          <w:rFonts w:ascii="Times New Roman" w:hAnsi="Times New Roman"/>
          <w:bCs/>
          <w:color w:val="222222"/>
        </w:rPr>
        <w:t xml:space="preserve">. </w:t>
      </w:r>
      <w:r w:rsidRPr="00E12998">
        <w:rPr>
          <w:rFonts w:ascii="Times New Roman" w:hAnsi="Times New Roman"/>
          <w:bCs/>
          <w:color w:val="222222"/>
        </w:rPr>
        <w:t>A helyi önkormányzatok törvényességi felügyelete. A törvényességi felügyelet eszközei, terjedelme. A kormányhivatal információkérési és javaslattételi joga.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 végrehajtásának általános szabályai. A központi költségvetés előirányzatainak módosítása, átcsoportosítása.  Az előirányzatok módosítása, átcsoportosítása az államháztartás</w:t>
      </w:r>
      <w:r w:rsidR="001735C4">
        <w:rPr>
          <w:rFonts w:ascii="Times New Roman" w:hAnsi="Times New Roman"/>
          <w:bCs/>
          <w:color w:val="222222"/>
        </w:rPr>
        <w:t xml:space="preserve"> önkormányzati alrendszerében. </w:t>
      </w:r>
      <w:r w:rsidRPr="00E12998">
        <w:rPr>
          <w:rFonts w:ascii="Times New Roman" w:hAnsi="Times New Roman"/>
          <w:bCs/>
          <w:color w:val="222222"/>
        </w:rPr>
        <w:t>Az előirányzatok felhasználásának korlátai.</w:t>
      </w:r>
    </w:p>
    <w:p w:rsidR="00D13110" w:rsidRPr="00DF2D15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költségvetési támogatás általános szabályai. A költségvetési támogatás biztosításának és ren</w:t>
      </w:r>
      <w:r w:rsidR="00E701EE">
        <w:rPr>
          <w:rFonts w:ascii="Times New Roman" w:hAnsi="Times New Roman"/>
          <w:bCs/>
          <w:color w:val="222222"/>
        </w:rPr>
        <w:t>delkezésre bocsátásának módja. A</w:t>
      </w:r>
      <w:r w:rsidRPr="00DF2D15">
        <w:rPr>
          <w:rFonts w:ascii="Times New Roman" w:hAnsi="Times New Roman"/>
          <w:bCs/>
          <w:color w:val="222222"/>
        </w:rPr>
        <w:t xml:space="preserve"> helyi önkormányzatok általános működéséhez és ágazati feladataihoz kapcsolódó támogatások igénylése.</w:t>
      </w:r>
      <w:r w:rsidR="008568E7">
        <w:rPr>
          <w:rFonts w:ascii="Times New Roman" w:hAnsi="Times New Roman"/>
          <w:bCs/>
          <w:color w:val="222222"/>
        </w:rPr>
        <w:t xml:space="preserve"> A feladatalapú támogatások rendszere.</w:t>
      </w:r>
      <w:r w:rsidRPr="00DF2D15">
        <w:rPr>
          <w:rFonts w:ascii="Times New Roman" w:hAnsi="Times New Roman"/>
          <w:bCs/>
          <w:color w:val="222222"/>
        </w:rPr>
        <w:t xml:space="preserve"> A támogatások elszámolása és felülvizsgálata, felhasználásának ellenőrzése.</w:t>
      </w:r>
      <w:r w:rsidR="001F1423">
        <w:rPr>
          <w:rFonts w:ascii="Times New Roman" w:hAnsi="Times New Roman"/>
          <w:bCs/>
          <w:color w:val="222222"/>
        </w:rPr>
        <w:t xml:space="preserve"> Összehangolás, monitoring, beszámolás, visszakövetelés a támogatások ren</w:t>
      </w:r>
      <w:r w:rsidR="001735C4">
        <w:rPr>
          <w:rFonts w:ascii="Times New Roman" w:hAnsi="Times New Roman"/>
          <w:bCs/>
          <w:color w:val="222222"/>
        </w:rPr>
        <w:t>d</w:t>
      </w:r>
      <w:r w:rsidR="001F1423">
        <w:rPr>
          <w:rFonts w:ascii="Times New Roman" w:hAnsi="Times New Roman"/>
          <w:bCs/>
          <w:color w:val="222222"/>
        </w:rPr>
        <w:t>szerében.</w:t>
      </w:r>
      <w:r w:rsidR="00477C30">
        <w:rPr>
          <w:rFonts w:ascii="Times New Roman" w:hAnsi="Times New Roman"/>
          <w:bCs/>
          <w:color w:val="222222"/>
        </w:rPr>
        <w:t xml:space="preserve">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önkormányzatok gazdálkodása. A helyi önkormányzatok feladatfinanszírozási rendszere. Adósságrendezés az önkormányzatoknál.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helyi önkormányzatok költségvetési rendelete</w:t>
      </w:r>
      <w:r w:rsidRPr="00E12998">
        <w:rPr>
          <w:rFonts w:ascii="Times New Roman" w:hAnsi="Times New Roman"/>
          <w:bCs/>
          <w:color w:val="222222"/>
        </w:rPr>
        <w:t xml:space="preserve">. </w:t>
      </w:r>
      <w:r w:rsidRPr="00DF2D15">
        <w:rPr>
          <w:rFonts w:ascii="Times New Roman" w:hAnsi="Times New Roman"/>
          <w:bCs/>
          <w:color w:val="222222"/>
        </w:rPr>
        <w:t>A költségvetési rendelet előkészítése, elfogadása</w:t>
      </w:r>
      <w:r w:rsidRPr="00E12998">
        <w:rPr>
          <w:rFonts w:ascii="Times New Roman" w:hAnsi="Times New Roman"/>
          <w:bCs/>
          <w:color w:val="222222"/>
        </w:rPr>
        <w:t xml:space="preserve">. </w:t>
      </w:r>
      <w:r w:rsidRPr="00DF2D15">
        <w:rPr>
          <w:rFonts w:ascii="Times New Roman" w:hAnsi="Times New Roman"/>
          <w:bCs/>
          <w:color w:val="222222"/>
        </w:rPr>
        <w:t>A helyi önkormányzatok átmeneti gazdálkodásának szabályai</w:t>
      </w:r>
      <w:r w:rsidRPr="00E12998">
        <w:rPr>
          <w:rFonts w:ascii="Times New Roman" w:hAnsi="Times New Roman"/>
          <w:bCs/>
          <w:color w:val="222222"/>
        </w:rPr>
        <w:t xml:space="preserve">. </w:t>
      </w:r>
      <w:r w:rsidRPr="00DF2D15">
        <w:rPr>
          <w:rFonts w:ascii="Times New Roman" w:hAnsi="Times New Roman"/>
          <w:bCs/>
          <w:color w:val="222222"/>
        </w:rPr>
        <w:t>A nemzetiségi önkormányzatok, társulások, térségi fejlesztési tanácsok költségvetése.</w:t>
      </w:r>
    </w:p>
    <w:p w:rsidR="00D13110" w:rsidRDefault="00D13110" w:rsidP="00D13110">
      <w:pPr>
        <w:spacing w:after="0"/>
        <w:ind w:left="360"/>
        <w:rPr>
          <w:rFonts w:ascii="Times New Roman" w:hAnsi="Times New Roman"/>
          <w:bCs/>
          <w:color w:val="222222"/>
        </w:rPr>
      </w:pPr>
    </w:p>
    <w:p w:rsidR="00D13110" w:rsidRDefault="00D13110" w:rsidP="00D131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4. </w:t>
      </w:r>
      <w:r w:rsidRPr="00E12998">
        <w:rPr>
          <w:b/>
          <w:iCs/>
          <w:color w:val="000000"/>
          <w:sz w:val="32"/>
          <w:szCs w:val="32"/>
        </w:rPr>
        <w:t>Az államháztartás számvitele</w:t>
      </w:r>
      <w:r w:rsidR="001735C4">
        <w:rPr>
          <w:b/>
          <w:iCs/>
          <w:color w:val="000000"/>
          <w:sz w:val="32"/>
          <w:szCs w:val="32"/>
        </w:rPr>
        <w:t>, beszámoló készítése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államháztartás számviteli rendszere. A költségvetési számvitel célja és tartalma. A pénzügyi számvitel célja és tartalma. A számviteli alapelvek alkalmazása az államháztartás szervezeteinél.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költségvetési</w:t>
      </w:r>
      <w:r w:rsidR="00293ED3">
        <w:rPr>
          <w:rFonts w:ascii="Times New Roman" w:hAnsi="Times New Roman"/>
          <w:bCs/>
          <w:color w:val="222222"/>
        </w:rPr>
        <w:t xml:space="preserve"> könyvvezetés</w:t>
      </w:r>
      <w:r w:rsidRPr="00E12998">
        <w:rPr>
          <w:rFonts w:ascii="Times New Roman" w:hAnsi="Times New Roman"/>
          <w:bCs/>
          <w:color w:val="222222"/>
        </w:rPr>
        <w:t xml:space="preserve"> szabályai az államháztartás szervezeteinél. A nyilvántartási számlák rendszere.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pénzügyi</w:t>
      </w:r>
      <w:r w:rsidR="00293ED3">
        <w:rPr>
          <w:rFonts w:ascii="Times New Roman" w:hAnsi="Times New Roman"/>
          <w:bCs/>
          <w:color w:val="222222"/>
        </w:rPr>
        <w:t xml:space="preserve"> könyvvezetés</w:t>
      </w:r>
      <w:r w:rsidRPr="00E12998">
        <w:rPr>
          <w:rFonts w:ascii="Times New Roman" w:hAnsi="Times New Roman"/>
          <w:bCs/>
          <w:color w:val="222222"/>
        </w:rPr>
        <w:t xml:space="preserve"> szabályai az államháztartás szervezeteinél. A könyvviteli számlák rendszere.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Számviteli politika az államháztartás számvitelében. Az egységes számlakeret és számlarend felépítése és tartalma. Az egysége</w:t>
      </w:r>
      <w:r w:rsidR="00E14F7D">
        <w:rPr>
          <w:rFonts w:ascii="Times New Roman" w:hAnsi="Times New Roman"/>
          <w:bCs/>
          <w:color w:val="222222"/>
        </w:rPr>
        <w:t>s</w:t>
      </w:r>
      <w:r w:rsidRPr="00E12998">
        <w:rPr>
          <w:rFonts w:ascii="Times New Roman" w:hAnsi="Times New Roman"/>
          <w:bCs/>
          <w:color w:val="222222"/>
        </w:rPr>
        <w:t xml:space="preserve"> számlatükör szerkezete és tartalma.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 xml:space="preserve">Nyitó tételek, a nyitás utáni feladatok </w:t>
      </w:r>
      <w:r w:rsidR="00293ED3">
        <w:rPr>
          <w:rFonts w:ascii="Times New Roman" w:hAnsi="Times New Roman"/>
          <w:bCs/>
          <w:color w:val="222222"/>
        </w:rPr>
        <w:t xml:space="preserve">az államháztartás számvitelében. </w:t>
      </w:r>
    </w:p>
    <w:p w:rsidR="00D13110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eszközök bekerülési értéke az államháztartás szervezeteinél. Az eszközök értékcsökkenésének, értékvesztésének megállapítása és elszámolása, az értékhelyesbítés lehetősége.</w:t>
      </w:r>
    </w:p>
    <w:p w:rsidR="00293ED3" w:rsidRPr="00E12998" w:rsidRDefault="00293ED3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Az államháztartásban felmerülő egyes gyakoribb gazdasági események kötelező elszámolási módja, könyvelési tételei.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Kötelező egyezőségek az</w:t>
      </w:r>
      <w:r w:rsidR="00293ED3">
        <w:rPr>
          <w:rFonts w:ascii="Times New Roman" w:hAnsi="Times New Roman"/>
          <w:bCs/>
          <w:color w:val="222222"/>
        </w:rPr>
        <w:t xml:space="preserve"> államháztartás számvitelében. E</w:t>
      </w:r>
      <w:r w:rsidRPr="00E12998">
        <w:rPr>
          <w:rFonts w:ascii="Times New Roman" w:hAnsi="Times New Roman"/>
          <w:bCs/>
          <w:color w:val="222222"/>
        </w:rPr>
        <w:t>gyezőségek a költségvetési számvitelen belül. Egyezőségek a költségvetési és pénzügyi számvitel között. Pénzeszközök állományváltozásának levezetése.</w:t>
      </w:r>
    </w:p>
    <w:p w:rsidR="004A30BC" w:rsidRPr="00293ED3" w:rsidRDefault="00D13110" w:rsidP="00293ED3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Kötelező és egyéb részletező nyilvántartások az államháztartás számvitelében. A részletező nyilvántartások tartalma.</w:t>
      </w:r>
    </w:p>
    <w:p w:rsidR="00293ED3" w:rsidRPr="00E12998" w:rsidRDefault="00293ED3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A könyvviteli zárlat. A könyvviteli zárlatok határidői, feladatai és tartalma. Havi, negyedéves, éves zárlatok.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beszámolás általános szabályai az államháztartásban. Kincstári költségvetési jelentés. Éves költségvetési beszámoló.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Zárszámadás. Zárszámadás az államháztartás központi alrendszerében. Zárszámadás az államháztartás önkormányzati alrendszerében.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Beszámolási kötelezettség az államháztartás számviteli rendszerében. Az éves költségvetési beszámoló elkészítése. Az éves költségvetési beszámoló részei.</w:t>
      </w:r>
    </w:p>
    <w:p w:rsidR="00D13110" w:rsidRPr="00E12998" w:rsidRDefault="00E874EA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Az éves költségvetési beszámoló</w:t>
      </w:r>
      <w:r w:rsidR="00D13110" w:rsidRPr="00E12998">
        <w:rPr>
          <w:rFonts w:ascii="Times New Roman" w:hAnsi="Times New Roman"/>
          <w:bCs/>
          <w:color w:val="222222"/>
        </w:rPr>
        <w:t xml:space="preserve"> jóváhagyása és megküldése. A mérlegkészítés időpontja. Az éves költségvetési beszámolóval kapcsolatos határidők az államháztartás alrendszereiben.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összevont (konszolidált) beszámoló elkészítése az államháztartásban. Az összevont (konszolidált) beszámoló részei és tartalma. A konszolidálás módszertana.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Költségvetési jelentés az éves költségvetési beszámolóban, illetve az éves összevont (konszolidált) beszámolóban.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költségvetési jelentés, a konszolidált költségvetési jelentés felépítése és adattartama.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Maradvány elszámolás. Költségvetési maradvány megállapítása az államháztartás központi és önkormányzati alrendszerében. A maradványkimutatás szerkezete és tartalma.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Mérleg az államháztartás számviteli rendszerében. A mérleg szerkezete és tartalma. A mérleg alátámasztása leltárral. Az önkormányzatok vagyonkimutatása. Az eszközök és források értékelése az államháztartás szervezetei mérlegében.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 xml:space="preserve">Eredménykimutatás az államháztartás számviteli rendszerében. Az eredménykimutatás szerkezete és tartalma.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 xml:space="preserve">A költségekről és megtérült költségekről szóló kimutatás szerkezete és tartalma az államháztartás számviteli rendszerében.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 kiegészítő melléklet az államháztartás számviteli rendszerében. A kiegészítő melléklet tartalma. A kiegészítő melléklet kötelezően előírt információi, különös tekintettel az államháztartás számviteléről szóló kormányrendelet mellékleteire.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Hibák javítása az államháztartás számvitelében. A beszámolóval le nem zárt időszakokkal kapcsolatos hibák javítása. A mérlegfordulónap és a mérlegkészítés időpontja között, illetve a mérlegkészítés időpontját követően feltárt hibák javítása</w:t>
      </w:r>
      <w:r w:rsidR="00E12998">
        <w:rPr>
          <w:rFonts w:ascii="Times New Roman" w:hAnsi="Times New Roman"/>
          <w:bCs/>
          <w:color w:val="222222"/>
        </w:rPr>
        <w:t>.</w:t>
      </w:r>
    </w:p>
    <w:p w:rsidR="00D13110" w:rsidRDefault="00D13110" w:rsidP="00D13110">
      <w:pPr>
        <w:spacing w:after="0"/>
        <w:ind w:left="360"/>
        <w:rPr>
          <w:iCs/>
          <w:color w:val="000000"/>
        </w:rPr>
      </w:pPr>
    </w:p>
    <w:p w:rsidR="00D13110" w:rsidRPr="00D25178" w:rsidRDefault="00D13110" w:rsidP="00D13110">
      <w:pPr>
        <w:pStyle w:val="Listaszerbekezds"/>
        <w:ind w:left="360"/>
        <w:rPr>
          <w:rFonts w:ascii="Times New Roman" w:hAnsi="Times New Roman"/>
          <w:b/>
        </w:rPr>
      </w:pPr>
      <w:r w:rsidRPr="00D25178">
        <w:rPr>
          <w:rFonts w:ascii="Times New Roman" w:hAnsi="Times New Roman"/>
          <w:b/>
          <w:sz w:val="32"/>
          <w:szCs w:val="32"/>
        </w:rPr>
        <w:t>5.</w:t>
      </w:r>
      <w:r w:rsidR="00E12998">
        <w:rPr>
          <w:rFonts w:ascii="Times New Roman" w:hAnsi="Times New Roman"/>
          <w:b/>
          <w:sz w:val="32"/>
          <w:szCs w:val="32"/>
        </w:rPr>
        <w:t xml:space="preserve"> </w:t>
      </w:r>
      <w:r w:rsidRPr="00E12998">
        <w:rPr>
          <w:b/>
          <w:iCs/>
          <w:color w:val="000000"/>
          <w:sz w:val="32"/>
          <w:szCs w:val="32"/>
        </w:rPr>
        <w:t>Az államháztartás ellenőrzésének rendszere</w:t>
      </w:r>
      <w:r w:rsidRPr="00D25178">
        <w:rPr>
          <w:rFonts w:ascii="Times New Roman" w:hAnsi="Times New Roman"/>
          <w:b/>
        </w:rPr>
        <w:t xml:space="preserve"> </w:t>
      </w:r>
    </w:p>
    <w:p w:rsidR="00D13110" w:rsidRPr="007E3C7A" w:rsidRDefault="00D13110" w:rsidP="007E3C7A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államháztartási kontrollok rendszere.</w:t>
      </w:r>
      <w:r w:rsidR="007E3C7A">
        <w:rPr>
          <w:rFonts w:ascii="Times New Roman" w:hAnsi="Times New Roman"/>
          <w:bCs/>
          <w:color w:val="222222"/>
        </w:rPr>
        <w:t xml:space="preserve"> </w:t>
      </w:r>
      <w:r w:rsidRPr="007E3C7A">
        <w:rPr>
          <w:rFonts w:ascii="Times New Roman" w:hAnsi="Times New Roman"/>
          <w:bCs/>
          <w:color w:val="222222"/>
        </w:rPr>
        <w:t xml:space="preserve">Az államháztartási kontrollok célja. Az államháztartási kontrollok szervezeti rendszere. 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E12998">
        <w:rPr>
          <w:rFonts w:ascii="Times New Roman" w:hAnsi="Times New Roman"/>
          <w:bCs/>
          <w:color w:val="222222"/>
        </w:rPr>
        <w:t>Az Állami Számvevőszék jogállása és hatásköre. Az Állami Számvevőszék feladatai.  Az Állami Számvevőszék szervezete. A számvevőszéki ellenőrzés szabályai. a számvevőszéki ellenőrzéssel kapcsolatos sajátos jogosultságok és kötelezettségek.   Az ellenőrzési jelentés és annak nyilvánossága.</w:t>
      </w:r>
    </w:p>
    <w:p w:rsidR="00D13110" w:rsidRPr="004F6321" w:rsidRDefault="00D13110" w:rsidP="004F6321">
      <w:pPr>
        <w:pStyle w:val="Listaszerbekezds"/>
        <w:numPr>
          <w:ilvl w:val="0"/>
          <w:numId w:val="25"/>
        </w:numPr>
        <w:spacing w:after="120"/>
        <w:rPr>
          <w:rFonts w:ascii="Times New Roman" w:hAnsi="Times New Roman"/>
          <w:bCs/>
          <w:color w:val="222222"/>
        </w:rPr>
      </w:pPr>
      <w:r w:rsidRPr="004F6321">
        <w:rPr>
          <w:rFonts w:ascii="Times New Roman" w:hAnsi="Times New Roman"/>
          <w:bCs/>
          <w:color w:val="222222"/>
        </w:rPr>
        <w:t xml:space="preserve">A kormányzati ellenőrzési szerv és az európai támogatásokat ellenőrző szerv. </w:t>
      </w:r>
      <w:r w:rsidR="007E3C7A" w:rsidRPr="004F6321">
        <w:rPr>
          <w:rFonts w:ascii="Times New Roman" w:hAnsi="Times New Roman"/>
          <w:bCs/>
          <w:color w:val="222222"/>
        </w:rPr>
        <w:t xml:space="preserve">   </w:t>
      </w:r>
      <w:r w:rsidRPr="004F6321">
        <w:rPr>
          <w:rFonts w:ascii="Times New Roman" w:hAnsi="Times New Roman"/>
          <w:bCs/>
          <w:color w:val="222222"/>
        </w:rPr>
        <w:t>A Kormányzati Ellenőrzési Hivatal (KEHI). Az Európai Uniós Támogatásokat Auditáló Főigazgatóság (EUTAF).</w:t>
      </w:r>
    </w:p>
    <w:p w:rsidR="007E3C7A" w:rsidRDefault="007E3C7A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A kincstári ellenőrzés. A kincstári ellenőrzés szabályai, lefolytatása. A helyi önkormányzatok szabályszerűségi pénzügyi ellenőrzése. A kincstári ellenőrzésről készített jelentés tartalma, hasznosítása.</w:t>
      </w:r>
    </w:p>
    <w:p w:rsidR="007E3C7A" w:rsidRPr="00DF2D15" w:rsidRDefault="007E3C7A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Az önkormányzati biztos. Az önkormányzati biztos megbízása. Az önkormányzati biztos jogosultságai és kötelezettségei.</w:t>
      </w:r>
    </w:p>
    <w:p w:rsidR="00D13110" w:rsidRPr="00E12998" w:rsidRDefault="00D13110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költségvetési szervek belső kontrollrendszere.  A belső kontrollrendszer elemei. A COSO modell. Ellenőrzési nyomvonalak. A szabálytalanságok kezelése. Kockázatkezelés. A folyamatba épített, előzetes, utólagos és vezetői ellenőrzés (FEUVE). Vezetői nyilatkozat a belső kontrollrendszer működéséről.</w:t>
      </w:r>
    </w:p>
    <w:p w:rsidR="00D13110" w:rsidRPr="00E12998" w:rsidRDefault="00E12998" w:rsidP="00E12998">
      <w:pPr>
        <w:numPr>
          <w:ilvl w:val="0"/>
          <w:numId w:val="25"/>
        </w:numPr>
        <w:spacing w:after="120"/>
        <w:ind w:left="714" w:hanging="357"/>
        <w:rPr>
          <w:rFonts w:ascii="Times New Roman" w:hAnsi="Times New Roman"/>
          <w:bCs/>
          <w:color w:val="222222"/>
        </w:rPr>
      </w:pPr>
      <w:r w:rsidRPr="00DF2D15">
        <w:rPr>
          <w:rFonts w:ascii="Times New Roman" w:hAnsi="Times New Roman"/>
          <w:bCs/>
          <w:color w:val="222222"/>
        </w:rPr>
        <w:t>A költségvetési szervek belső ellenőrzése. A belső ellenőrzés kialakítása és működtetése. A bizonyosságot adó és a tanácsadó tevékenység végrehajtása. Belső ellenőrzési kézikönyv. A belső ellenőrzés központi harmonizációja és koordinációja.</w:t>
      </w:r>
    </w:p>
    <w:p w:rsidR="00E12998" w:rsidRPr="00BE3364" w:rsidRDefault="00E12998" w:rsidP="00E12998">
      <w:pPr>
        <w:spacing w:after="0"/>
        <w:rPr>
          <w:iCs/>
          <w:color w:val="000000"/>
        </w:rPr>
      </w:pPr>
    </w:p>
    <w:p w:rsidR="00202800" w:rsidRPr="00303BB7" w:rsidRDefault="00202800" w:rsidP="005840C5">
      <w:pPr>
        <w:spacing w:after="0"/>
        <w:rPr>
          <w:rFonts w:cs="Tahoma"/>
          <w:bCs/>
          <w:color w:val="222222"/>
        </w:rPr>
      </w:pPr>
    </w:p>
    <w:p w:rsidR="008E31EC" w:rsidRPr="00303BB7" w:rsidRDefault="008E31EC" w:rsidP="008E31EC">
      <w:pPr>
        <w:pStyle w:val="NormlWeb"/>
        <w:spacing w:before="300" w:beforeAutospacing="0" w:after="300" w:afterAutospacing="0"/>
        <w:ind w:left="150" w:right="150"/>
        <w:jc w:val="center"/>
        <w:rPr>
          <w:rFonts w:ascii="Calibri" w:hAnsi="Calibri" w:cs="Tahoma"/>
          <w:color w:val="222222"/>
        </w:rPr>
      </w:pPr>
    </w:p>
    <w:p w:rsidR="00B60D2E" w:rsidRPr="00303BB7" w:rsidRDefault="00642082" w:rsidP="00E76C2D">
      <w:pPr>
        <w:pStyle w:val="NormlWeb"/>
        <w:spacing w:before="300" w:beforeAutospacing="0" w:after="300" w:afterAutospacing="0"/>
        <w:ind w:right="150"/>
        <w:rPr>
          <w:rFonts w:cs="Tahoma"/>
          <w:bCs/>
          <w:color w:val="222222"/>
        </w:rPr>
      </w:pPr>
      <w:r w:rsidRPr="00303BB7">
        <w:rPr>
          <w:rFonts w:ascii="Calibri" w:hAnsi="Calibri" w:cs="Tahoma"/>
          <w:bCs/>
          <w:color w:val="222222"/>
        </w:rPr>
        <w:t xml:space="preserve"> </w:t>
      </w:r>
      <w:r w:rsidR="001735C4">
        <w:rPr>
          <w:rFonts w:ascii="Calibri" w:hAnsi="Calibri" w:cs="Tahoma"/>
          <w:bCs/>
          <w:color w:val="222222"/>
        </w:rPr>
        <w:t>Budapest, 2016. január 31.</w:t>
      </w:r>
    </w:p>
    <w:p w:rsidR="00911F2C" w:rsidRDefault="00911F2C" w:rsidP="005615D2">
      <w:pPr>
        <w:spacing w:after="0"/>
        <w:ind w:left="150"/>
      </w:pPr>
    </w:p>
    <w:p w:rsidR="00911F2C" w:rsidRDefault="00911F2C" w:rsidP="005615D2">
      <w:pPr>
        <w:spacing w:after="0"/>
        <w:ind w:left="150"/>
      </w:pPr>
    </w:p>
    <w:p w:rsidR="00911F2C" w:rsidRDefault="00911F2C" w:rsidP="005615D2">
      <w:pPr>
        <w:spacing w:after="0"/>
        <w:ind w:left="150"/>
      </w:pPr>
    </w:p>
    <w:p w:rsidR="00911F2C" w:rsidRDefault="00911F2C" w:rsidP="005615D2">
      <w:pPr>
        <w:spacing w:after="0"/>
        <w:ind w:left="150"/>
      </w:pPr>
    </w:p>
    <w:p w:rsidR="00911F2C" w:rsidRPr="00303BB7" w:rsidRDefault="00911F2C" w:rsidP="001735C4">
      <w:pPr>
        <w:spacing w:after="0"/>
      </w:pPr>
      <w:r>
        <w:t>Összeállította: Dr. Printz János</w:t>
      </w:r>
    </w:p>
    <w:sectPr w:rsidR="00911F2C" w:rsidRPr="00303BB7" w:rsidSect="00316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A6" w:rsidRDefault="004808A6" w:rsidP="003160C4">
      <w:pPr>
        <w:spacing w:after="0"/>
      </w:pPr>
      <w:r>
        <w:separator/>
      </w:r>
    </w:p>
  </w:endnote>
  <w:endnote w:type="continuationSeparator" w:id="0">
    <w:p w:rsidR="004808A6" w:rsidRDefault="004808A6" w:rsidP="00316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C6" w:rsidRDefault="003B7C10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C6" w:rsidRDefault="003B7C10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3497">
      <w:rPr>
        <w:rStyle w:val="Oldalszm"/>
        <w:noProof/>
      </w:rPr>
      <w:t>2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D" w:rsidRDefault="00283497" w:rsidP="00AB478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478D" w:rsidRDefault="00AB47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A6" w:rsidRDefault="004808A6" w:rsidP="003160C4">
      <w:pPr>
        <w:spacing w:after="0"/>
      </w:pPr>
      <w:r>
        <w:separator/>
      </w:r>
    </w:p>
  </w:footnote>
  <w:footnote w:type="continuationSeparator" w:id="0">
    <w:p w:rsidR="004808A6" w:rsidRDefault="004808A6" w:rsidP="00316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D" w:rsidRDefault="00AB47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D" w:rsidRDefault="00AB47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D" w:rsidRDefault="00AB47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40"/>
    <w:multiLevelType w:val="hybridMultilevel"/>
    <w:tmpl w:val="69204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D0F"/>
    <w:multiLevelType w:val="hybridMultilevel"/>
    <w:tmpl w:val="27763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3593"/>
    <w:multiLevelType w:val="hybridMultilevel"/>
    <w:tmpl w:val="F6189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23C5"/>
    <w:multiLevelType w:val="hybridMultilevel"/>
    <w:tmpl w:val="B7304F68"/>
    <w:lvl w:ilvl="0" w:tplc="B7E08682">
      <w:numFmt w:val="bullet"/>
      <w:lvlText w:val="-"/>
      <w:lvlJc w:val="left"/>
      <w:pPr>
        <w:ind w:left="510" w:hanging="360"/>
      </w:pPr>
      <w:rPr>
        <w:rFonts w:ascii="Tahoma" w:eastAsia="Times New Roman" w:hAnsi="Tahoma" w:cs="Tahoma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10DB582E"/>
    <w:multiLevelType w:val="hybridMultilevel"/>
    <w:tmpl w:val="2D267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84FCB"/>
    <w:multiLevelType w:val="hybridMultilevel"/>
    <w:tmpl w:val="C3BA5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23323"/>
    <w:multiLevelType w:val="hybridMultilevel"/>
    <w:tmpl w:val="8D0CA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205939AE"/>
    <w:multiLevelType w:val="hybridMultilevel"/>
    <w:tmpl w:val="2124E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6ECF"/>
    <w:multiLevelType w:val="hybridMultilevel"/>
    <w:tmpl w:val="AD9A85F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E7B5D3F"/>
    <w:multiLevelType w:val="hybridMultilevel"/>
    <w:tmpl w:val="FA2049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550AB"/>
    <w:multiLevelType w:val="hybridMultilevel"/>
    <w:tmpl w:val="FAD2F6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2F7A26AE"/>
    <w:multiLevelType w:val="hybridMultilevel"/>
    <w:tmpl w:val="A5507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4C982614"/>
    <w:multiLevelType w:val="hybridMultilevel"/>
    <w:tmpl w:val="31C4AB2E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A5F"/>
    <w:multiLevelType w:val="hybridMultilevel"/>
    <w:tmpl w:val="B95224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953187"/>
    <w:multiLevelType w:val="hybridMultilevel"/>
    <w:tmpl w:val="1C484F1A"/>
    <w:lvl w:ilvl="0" w:tplc="A0F099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2457B"/>
    <w:multiLevelType w:val="hybridMultilevel"/>
    <w:tmpl w:val="DE227D0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F34"/>
    <w:multiLevelType w:val="hybridMultilevel"/>
    <w:tmpl w:val="6B200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A0377"/>
    <w:multiLevelType w:val="hybridMultilevel"/>
    <w:tmpl w:val="4E268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F124DD6"/>
    <w:multiLevelType w:val="hybridMultilevel"/>
    <w:tmpl w:val="BFE0A0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3B178E"/>
    <w:multiLevelType w:val="hybridMultilevel"/>
    <w:tmpl w:val="239CA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1219"/>
    <w:multiLevelType w:val="hybridMultilevel"/>
    <w:tmpl w:val="DBAA88A8"/>
    <w:lvl w:ilvl="0" w:tplc="96AE0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7"/>
  </w:num>
  <w:num w:numId="5">
    <w:abstractNumId w:val="17"/>
  </w:num>
  <w:num w:numId="6">
    <w:abstractNumId w:val="2"/>
  </w:num>
  <w:num w:numId="7">
    <w:abstractNumId w:val="28"/>
  </w:num>
  <w:num w:numId="8">
    <w:abstractNumId w:val="4"/>
  </w:num>
  <w:num w:numId="9">
    <w:abstractNumId w:val="9"/>
  </w:num>
  <w:num w:numId="10">
    <w:abstractNumId w:val="14"/>
  </w:num>
  <w:num w:numId="11">
    <w:abstractNumId w:val="29"/>
  </w:num>
  <w:num w:numId="12">
    <w:abstractNumId w:val="10"/>
  </w:num>
  <w:num w:numId="13">
    <w:abstractNumId w:val="22"/>
  </w:num>
  <w:num w:numId="14">
    <w:abstractNumId w:val="21"/>
  </w:num>
  <w:num w:numId="15">
    <w:abstractNumId w:val="5"/>
  </w:num>
  <w:num w:numId="16">
    <w:abstractNumId w:val="31"/>
  </w:num>
  <w:num w:numId="17">
    <w:abstractNumId w:val="13"/>
  </w:num>
  <w:num w:numId="18">
    <w:abstractNumId w:val="0"/>
  </w:num>
  <w:num w:numId="19">
    <w:abstractNumId w:val="7"/>
  </w:num>
  <w:num w:numId="20">
    <w:abstractNumId w:val="20"/>
  </w:num>
  <w:num w:numId="21">
    <w:abstractNumId w:val="12"/>
  </w:num>
  <w:num w:numId="22">
    <w:abstractNumId w:val="18"/>
  </w:num>
  <w:num w:numId="23">
    <w:abstractNumId w:val="1"/>
  </w:num>
  <w:num w:numId="24">
    <w:abstractNumId w:val="24"/>
  </w:num>
  <w:num w:numId="25">
    <w:abstractNumId w:val="8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6"/>
  </w:num>
  <w:num w:numId="31">
    <w:abstractNumId w:val="16"/>
  </w:num>
  <w:num w:numId="32">
    <w:abstractNumId w:val="27"/>
  </w:num>
  <w:num w:numId="33">
    <w:abstractNumId w:val="23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A8"/>
    <w:rsid w:val="00024F06"/>
    <w:rsid w:val="000349B9"/>
    <w:rsid w:val="000879A1"/>
    <w:rsid w:val="000B5E3F"/>
    <w:rsid w:val="000C6567"/>
    <w:rsid w:val="000D38E4"/>
    <w:rsid w:val="000F5FBD"/>
    <w:rsid w:val="001017EB"/>
    <w:rsid w:val="00104378"/>
    <w:rsid w:val="001059E2"/>
    <w:rsid w:val="00136146"/>
    <w:rsid w:val="0013671D"/>
    <w:rsid w:val="001453AE"/>
    <w:rsid w:val="00153DE5"/>
    <w:rsid w:val="001708D4"/>
    <w:rsid w:val="001735C4"/>
    <w:rsid w:val="00185FA8"/>
    <w:rsid w:val="001928EF"/>
    <w:rsid w:val="0019722A"/>
    <w:rsid w:val="001B3653"/>
    <w:rsid w:val="001D665A"/>
    <w:rsid w:val="001E112F"/>
    <w:rsid w:val="001F0EE5"/>
    <w:rsid w:val="001F1423"/>
    <w:rsid w:val="00200955"/>
    <w:rsid w:val="00202800"/>
    <w:rsid w:val="0020440A"/>
    <w:rsid w:val="002171F2"/>
    <w:rsid w:val="00233C3E"/>
    <w:rsid w:val="00243854"/>
    <w:rsid w:val="002568FB"/>
    <w:rsid w:val="00260B6D"/>
    <w:rsid w:val="002648F4"/>
    <w:rsid w:val="0026689E"/>
    <w:rsid w:val="00283497"/>
    <w:rsid w:val="00293ED3"/>
    <w:rsid w:val="00303BB7"/>
    <w:rsid w:val="0030500E"/>
    <w:rsid w:val="00310518"/>
    <w:rsid w:val="0031406E"/>
    <w:rsid w:val="003160C4"/>
    <w:rsid w:val="003165FD"/>
    <w:rsid w:val="00350117"/>
    <w:rsid w:val="00373718"/>
    <w:rsid w:val="00382A68"/>
    <w:rsid w:val="003B7C10"/>
    <w:rsid w:val="003F1808"/>
    <w:rsid w:val="003F4F89"/>
    <w:rsid w:val="00413E9D"/>
    <w:rsid w:val="00414255"/>
    <w:rsid w:val="004260A5"/>
    <w:rsid w:val="004442CC"/>
    <w:rsid w:val="00447C67"/>
    <w:rsid w:val="00477C30"/>
    <w:rsid w:val="004808A6"/>
    <w:rsid w:val="00485BD1"/>
    <w:rsid w:val="00491AAB"/>
    <w:rsid w:val="004A30BC"/>
    <w:rsid w:val="004A7F1E"/>
    <w:rsid w:val="004B73E9"/>
    <w:rsid w:val="004C27CF"/>
    <w:rsid w:val="004D7A93"/>
    <w:rsid w:val="004F6321"/>
    <w:rsid w:val="005238A8"/>
    <w:rsid w:val="00525206"/>
    <w:rsid w:val="0054281B"/>
    <w:rsid w:val="00552C75"/>
    <w:rsid w:val="005615D2"/>
    <w:rsid w:val="00567DFA"/>
    <w:rsid w:val="00574FB6"/>
    <w:rsid w:val="005840C5"/>
    <w:rsid w:val="00590E11"/>
    <w:rsid w:val="005A2B1A"/>
    <w:rsid w:val="005C32B4"/>
    <w:rsid w:val="005E6C23"/>
    <w:rsid w:val="006219FC"/>
    <w:rsid w:val="00624AAC"/>
    <w:rsid w:val="00637273"/>
    <w:rsid w:val="00642082"/>
    <w:rsid w:val="00655405"/>
    <w:rsid w:val="00655A53"/>
    <w:rsid w:val="006C623C"/>
    <w:rsid w:val="006C6EDF"/>
    <w:rsid w:val="006D2CBC"/>
    <w:rsid w:val="006E47AC"/>
    <w:rsid w:val="006F2061"/>
    <w:rsid w:val="007101C0"/>
    <w:rsid w:val="0074105A"/>
    <w:rsid w:val="007505FF"/>
    <w:rsid w:val="0077779A"/>
    <w:rsid w:val="007E3C7A"/>
    <w:rsid w:val="0080237C"/>
    <w:rsid w:val="00814464"/>
    <w:rsid w:val="00814CF9"/>
    <w:rsid w:val="00830B31"/>
    <w:rsid w:val="008568E7"/>
    <w:rsid w:val="00864E10"/>
    <w:rsid w:val="00867C04"/>
    <w:rsid w:val="008936E3"/>
    <w:rsid w:val="008A4987"/>
    <w:rsid w:val="008B6690"/>
    <w:rsid w:val="008C098A"/>
    <w:rsid w:val="008D6337"/>
    <w:rsid w:val="008E17E5"/>
    <w:rsid w:val="008E31EC"/>
    <w:rsid w:val="0090068B"/>
    <w:rsid w:val="00911F2C"/>
    <w:rsid w:val="009129BF"/>
    <w:rsid w:val="009160BB"/>
    <w:rsid w:val="0096529C"/>
    <w:rsid w:val="00983E45"/>
    <w:rsid w:val="009B185D"/>
    <w:rsid w:val="009F1444"/>
    <w:rsid w:val="00A1167C"/>
    <w:rsid w:val="00A14CFE"/>
    <w:rsid w:val="00A26D76"/>
    <w:rsid w:val="00A61FD3"/>
    <w:rsid w:val="00A632C0"/>
    <w:rsid w:val="00A8593B"/>
    <w:rsid w:val="00AA303F"/>
    <w:rsid w:val="00AA4DA8"/>
    <w:rsid w:val="00AB478D"/>
    <w:rsid w:val="00AC45D6"/>
    <w:rsid w:val="00AD0521"/>
    <w:rsid w:val="00AD6184"/>
    <w:rsid w:val="00AE07EE"/>
    <w:rsid w:val="00AF681E"/>
    <w:rsid w:val="00B11E02"/>
    <w:rsid w:val="00B26EE0"/>
    <w:rsid w:val="00B60D2E"/>
    <w:rsid w:val="00B97645"/>
    <w:rsid w:val="00BC0D3D"/>
    <w:rsid w:val="00BE3364"/>
    <w:rsid w:val="00BF4B8B"/>
    <w:rsid w:val="00C05E14"/>
    <w:rsid w:val="00C4028A"/>
    <w:rsid w:val="00C64114"/>
    <w:rsid w:val="00C90188"/>
    <w:rsid w:val="00C930C4"/>
    <w:rsid w:val="00CD3032"/>
    <w:rsid w:val="00CD3A8D"/>
    <w:rsid w:val="00CE7C99"/>
    <w:rsid w:val="00D10536"/>
    <w:rsid w:val="00D13110"/>
    <w:rsid w:val="00D136A1"/>
    <w:rsid w:val="00D14E98"/>
    <w:rsid w:val="00D42FD5"/>
    <w:rsid w:val="00D45A23"/>
    <w:rsid w:val="00D51348"/>
    <w:rsid w:val="00D8589C"/>
    <w:rsid w:val="00D90561"/>
    <w:rsid w:val="00DA288F"/>
    <w:rsid w:val="00DB371F"/>
    <w:rsid w:val="00E01CC6"/>
    <w:rsid w:val="00E12998"/>
    <w:rsid w:val="00E14F7D"/>
    <w:rsid w:val="00E16AD2"/>
    <w:rsid w:val="00E24E25"/>
    <w:rsid w:val="00E41132"/>
    <w:rsid w:val="00E701EE"/>
    <w:rsid w:val="00E71929"/>
    <w:rsid w:val="00E76C2D"/>
    <w:rsid w:val="00E874EA"/>
    <w:rsid w:val="00E932E3"/>
    <w:rsid w:val="00E95CB4"/>
    <w:rsid w:val="00E97F72"/>
    <w:rsid w:val="00EB236F"/>
    <w:rsid w:val="00EB3F3E"/>
    <w:rsid w:val="00EC0DA3"/>
    <w:rsid w:val="00EC593C"/>
    <w:rsid w:val="00EE1FAD"/>
    <w:rsid w:val="00EF71E6"/>
    <w:rsid w:val="00F02254"/>
    <w:rsid w:val="00F03BE6"/>
    <w:rsid w:val="00F153D1"/>
    <w:rsid w:val="00F42C0B"/>
    <w:rsid w:val="00F437C3"/>
    <w:rsid w:val="00F50AE5"/>
    <w:rsid w:val="00F60B75"/>
    <w:rsid w:val="00F67F38"/>
    <w:rsid w:val="00F74BE8"/>
    <w:rsid w:val="00F76F7F"/>
    <w:rsid w:val="00F86CDD"/>
    <w:rsid w:val="00F975F5"/>
    <w:rsid w:val="00FA5EED"/>
    <w:rsid w:val="00FB38C8"/>
    <w:rsid w:val="00FC270D"/>
    <w:rsid w:val="00FE4587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81E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rFonts w:ascii="Gill Sans MT" w:hAnsi="Gill Sans MT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rFonts w:ascii="Calibri" w:hAnsi="Calibri"/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34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character" w:styleId="Hiperhivatkozs">
    <w:name w:val="Hyperlink"/>
    <w:uiPriority w:val="99"/>
    <w:semiHidden/>
    <w:unhideWhenUsed/>
    <w:rsid w:val="00F42C0B"/>
    <w:rPr>
      <w:color w:val="0072B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78D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78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81E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rFonts w:ascii="Gill Sans MT" w:hAnsi="Gill Sans MT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rFonts w:ascii="Calibri" w:hAnsi="Calibri"/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34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character" w:styleId="Hiperhivatkozs">
    <w:name w:val="Hyperlink"/>
    <w:uiPriority w:val="99"/>
    <w:semiHidden/>
    <w:unhideWhenUsed/>
    <w:rsid w:val="00F42C0B"/>
    <w:rPr>
      <w:color w:val="0072B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78D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78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724F-883E-47CE-B065-F3BB30F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11168</Characters>
  <Application>Microsoft Office Word</Application>
  <DocSecurity>4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Máté Anna (Magyar Könyvvizsgálói Kamara)</cp:lastModifiedBy>
  <cp:revision>2</cp:revision>
  <cp:lastPrinted>2013-11-21T21:31:00Z</cp:lastPrinted>
  <dcterms:created xsi:type="dcterms:W3CDTF">2016-02-02T15:21:00Z</dcterms:created>
  <dcterms:modified xsi:type="dcterms:W3CDTF">2016-02-02T15:21:00Z</dcterms:modified>
</cp:coreProperties>
</file>