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6" w:rsidRPr="00855240" w:rsidRDefault="00E150DF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bookmarkStart w:id="0" w:name="_GoBack"/>
      <w:bookmarkEnd w:id="0"/>
      <w:r w:rsidRPr="00855240">
        <w:rPr>
          <w:rStyle w:val="Kiemels2"/>
          <w:b w:val="0"/>
          <w:color w:val="000000"/>
        </w:rPr>
        <w:t>4</w:t>
      </w:r>
      <w:r w:rsidR="00E01CC6" w:rsidRPr="00855240">
        <w:rPr>
          <w:rStyle w:val="Kiemels2"/>
          <w:b w:val="0"/>
          <w:color w:val="000000"/>
        </w:rPr>
        <w:t>. SZÁMÚ MELLÉKLET</w:t>
      </w:r>
    </w:p>
    <w:p w:rsidR="00E01CC6" w:rsidRPr="00855240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855240">
        <w:t>A szakmai minősítő vizsga szabályzathoz</w:t>
      </w:r>
    </w:p>
    <w:p w:rsidR="00E01CC6" w:rsidRPr="00855240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855240">
        <w:rPr>
          <w:rStyle w:val="Kiemels2"/>
          <w:caps/>
          <w:color w:val="000000"/>
        </w:rPr>
        <w:t xml:space="preserve">A </w:t>
      </w:r>
      <w:r w:rsidR="004A3868" w:rsidRPr="00855240">
        <w:rPr>
          <w:rStyle w:val="Kiemels2"/>
          <w:caps/>
          <w:color w:val="000000"/>
        </w:rPr>
        <w:t>PÉNZTÁR</w:t>
      </w:r>
      <w:r w:rsidR="00EF71E6" w:rsidRPr="00855240">
        <w:rPr>
          <w:rStyle w:val="Kiemels2"/>
          <w:caps/>
          <w:color w:val="000000"/>
        </w:rPr>
        <w:t>I</w:t>
      </w:r>
      <w:r w:rsidRPr="00855240">
        <w:rPr>
          <w:rStyle w:val="Kiemels2"/>
          <w:caps/>
          <w:color w:val="000000"/>
        </w:rPr>
        <w:t xml:space="preserve"> SZAKMAI MINŐSÍTŐ VIZSGA TARTALMI követelményei</w:t>
      </w:r>
    </w:p>
    <w:p w:rsidR="00E01CC6" w:rsidRPr="00855240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855240" w:rsidRPr="00855240" w:rsidRDefault="00855240" w:rsidP="00855240">
      <w:pPr>
        <w:pStyle w:val="Cmsor1"/>
        <w:rPr>
          <w:rFonts w:ascii="Times New Roman" w:hAnsi="Times New Roman"/>
        </w:rPr>
      </w:pPr>
      <w:r w:rsidRPr="008552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pénztári</w:t>
      </w:r>
      <w:r w:rsidRPr="00855240">
        <w:rPr>
          <w:rFonts w:ascii="Times New Roman" w:hAnsi="Times New Roman"/>
        </w:rPr>
        <w:t xml:space="preserve"> könyvvizsgálat sajátosságai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ügyfél elfogadás vagy meghosszabbítás specialitásai a pénztári minősítéshez kötött gazdálkodók esetén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A megbízás elfogadás specialitásai a pénztári minősítéshez kötött gazdálkodók esetén 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pénztárakkal kötött könyvvizsgálati szerződés sajátosságai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számára kiállított elfogadó nyilatkozat sajátosságai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lényegességi küszöb meghatározása a pénztárak esetén (vetítési alap és a mérték specialitásai)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könyvvizsgálati munkaprogram kialakításának sajátosságai a pénztárak esetén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Belső minőségellenőr kijelölése, az ellenőr szerepe és munka a belső minőségellenőrrel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könyvvizsgálati eljárások eltérései a pénztárak könyvvizsgálata esetén</w:t>
      </w:r>
    </w:p>
    <w:p w:rsidR="00444766" w:rsidRPr="00444766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Új könyvvizsgálat esetén a nyitóegyenlegek vizsgálata</w:t>
      </w:r>
    </w:p>
    <w:p w:rsid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egyenleg megerősítések módszertana és gyakorlata</w:t>
      </w:r>
    </w:p>
    <w:p w:rsidR="005C04AC" w:rsidRPr="00855240" w:rsidRDefault="005C04AC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Hozamfelosztás módszertana és gyakorlata</w:t>
      </w:r>
    </w:p>
    <w:p w:rsidR="00855240" w:rsidRP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visszaélések felderítésével kapcsolatos eljárások kiemelt jelentősége</w:t>
      </w:r>
    </w:p>
    <w:p w:rsidR="00855240" w:rsidRP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Szakértők bevonása a könyvvizsgálatba: informatikai, értékelési, jogi, csalás kivizsgáló, adó, </w:t>
      </w:r>
      <w:proofErr w:type="spellStart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szakértők</w:t>
      </w:r>
    </w:p>
    <w:p w:rsid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letétkezelővel történő egyeztetés speciális eljárásai</w:t>
      </w:r>
    </w:p>
    <w:p w:rsidR="005C04AC" w:rsidRPr="00855240" w:rsidRDefault="005C04AC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vagyonkezelővel történő egyeztetés speciális eljárásai</w:t>
      </w:r>
    </w:p>
    <w:p w:rsidR="00855240" w:rsidRP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informatikai rendszerek könyvvizsgálatának módszertana</w:t>
      </w:r>
    </w:p>
    <w:p w:rsidR="00855240" w:rsidRP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Folyamat felmérések és a kontroll környezet megbízhatóságának vizsgálata és ennek hatása a részletes tesztelésre</w:t>
      </w:r>
    </w:p>
    <w:p w:rsidR="00E27C28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befektetési állomány (értékpapírok, likvid befektetések</w:t>
      </w:r>
      <w:r w:rsidR="00444766">
        <w:rPr>
          <w:rFonts w:ascii="Times New Roman" w:eastAsiaTheme="minorHAnsi" w:hAnsi="Times New Roman"/>
          <w:sz w:val="22"/>
          <w:szCs w:val="22"/>
          <w:lang w:eastAsia="en-US"/>
        </w:rPr>
        <w:t>, befektetések</w:t>
      </w: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) vizsgálata</w:t>
      </w:r>
      <w:r w:rsidR="00E27C2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855240" w:rsidRP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értékvesztés</w:t>
      </w:r>
      <w:r w:rsidR="005C04AC">
        <w:rPr>
          <w:rFonts w:ascii="Times New Roman" w:eastAsiaTheme="minorHAnsi" w:hAnsi="Times New Roman"/>
          <w:sz w:val="22"/>
          <w:szCs w:val="22"/>
          <w:lang w:eastAsia="en-US"/>
        </w:rPr>
        <w:t>/értékelési különbözet</w:t>
      </w: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és céltartalék értékelésének vizsgálata </w:t>
      </w:r>
    </w:p>
    <w:p w:rsidR="00855240" w:rsidRDefault="00855240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Speciális tartalékok (pénztári tartalékok, pénztári céltartalékok) vizsgálata teljesség és értékelés szempontjából</w:t>
      </w:r>
    </w:p>
    <w:p w:rsidR="00444766" w:rsidRPr="00444766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Könyvvizsgálati bizonyítékokon (vezetés vagy a vezetés szakértője által készített információ) elvégzendő könyvvizsgálati eljárások</w:t>
      </w:r>
    </w:p>
    <w:p w:rsidR="00444766" w:rsidRPr="00444766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Konszolidált beszámoló esetén a komponens könyvvizsgálókkal való kommunikáció és a konszolidációs lépések könyvvizsgálata</w:t>
      </w:r>
    </w:p>
    <w:p w:rsidR="00444766" w:rsidRPr="00444766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Kapcsolt felek vizsgálata</w:t>
      </w:r>
    </w:p>
    <w:p w:rsidR="00444766" w:rsidRPr="00444766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A vállalkozás folytatása elvének vizsgálata</w:t>
      </w:r>
    </w:p>
    <w:p w:rsidR="00444766" w:rsidRPr="00855240" w:rsidRDefault="00444766" w:rsidP="00063C9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444766">
        <w:rPr>
          <w:rFonts w:ascii="Times New Roman" w:eastAsiaTheme="minorHAnsi" w:hAnsi="Times New Roman"/>
          <w:sz w:val="22"/>
          <w:szCs w:val="22"/>
          <w:lang w:eastAsia="en-US"/>
        </w:rPr>
        <w:t>Fordulónap utáni események vizsgálata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pénztári tervek vizsgálatának specialitásai (időzítés, elvégzendő munka, alkalmazandó könyvvizsgálati standard)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Jelentéskészítés és az azt megalapozó könyvvizsgálati munka a pénztáraknál (éves beszámolóról kiadott jelentés, a pénztári tervekről kiadott jelentés)</w:t>
      </w:r>
    </w:p>
    <w:p w:rsidR="00855240" w:rsidRPr="00855240" w:rsidRDefault="00855240" w:rsidP="00855240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Kommunikáció a felügyeleti hatósággal (MNB) – titoktartás szabályozása, rendszeresség, speciális esetek</w:t>
      </w:r>
    </w:p>
    <w:p w:rsidR="000D38E4" w:rsidRPr="00855240" w:rsidRDefault="00AA3E40" w:rsidP="00855240">
      <w:pPr>
        <w:pStyle w:val="Cmsor1"/>
        <w:rPr>
          <w:rFonts w:ascii="Times New Roman" w:hAnsi="Times New Roman"/>
        </w:rPr>
      </w:pPr>
      <w:r w:rsidRPr="00855240">
        <w:rPr>
          <w:rFonts w:ascii="Times New Roman" w:hAnsi="Times New Roman"/>
        </w:rPr>
        <w:t>Önkéntes Kölcsönös Biztosító Pénztárak</w:t>
      </w:r>
      <w:r w:rsidR="00855240" w:rsidRPr="00855240">
        <w:rPr>
          <w:rFonts w:ascii="Times New Roman" w:hAnsi="Times New Roman"/>
        </w:rPr>
        <w:t xml:space="preserve"> működési szabályai</w:t>
      </w:r>
      <w:r w:rsidRPr="00855240">
        <w:rPr>
          <w:rFonts w:ascii="Times New Roman" w:hAnsi="Times New Roman"/>
        </w:rPr>
        <w:t xml:space="preserve"> 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Működési alapelvek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 alapítása</w:t>
      </w:r>
    </w:p>
    <w:p w:rsidR="0028550F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típusai és tevékenységük</w:t>
      </w:r>
    </w:p>
    <w:p w:rsidR="00086405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tagsági viszony</w:t>
      </w:r>
    </w:p>
    <w:p w:rsidR="00086405" w:rsidRPr="00855240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Az alapszabály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 szervezete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közgyűlés feladata és hatásköre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igazgatótanács feladata és hatásköre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ellenőrző bizottság feladata és hatásköre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ügyvezető feladata és hatásköre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gazdálkodása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 pénzügyi terve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 üzemviteli és beszámolási szabályai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Informatikai rendszer védelme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Kiszervezés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átalakulás közös szabályai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egyesülése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szétválása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Ágazatok vegyes pénztárrá alakulása, szétválása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megszűnése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kiegészítő nyugdíjpénztárra vonatkozó szabályok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pénztártagok által választható befektetési portfólió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Az </w:t>
      </w:r>
      <w:proofErr w:type="spellStart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elszámolóegységekre</w:t>
      </w:r>
      <w:proofErr w:type="spellEnd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épülő nyilvántartási rendszer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kiegészítő önsegélyező pénztárra vonatkozó szabályok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önsegélyező pénztárak által nyújtható kiegészítő önsegélyező szolgáltatások köre</w:t>
      </w:r>
    </w:p>
    <w:p w:rsidR="0028550F" w:rsidRPr="00843E6A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pacing w:val="-4"/>
          <w:sz w:val="22"/>
          <w:szCs w:val="22"/>
          <w:lang w:eastAsia="en-US"/>
        </w:rPr>
      </w:pPr>
      <w:r w:rsidRPr="00843E6A">
        <w:rPr>
          <w:rFonts w:ascii="Times New Roman" w:eastAsiaTheme="minorHAnsi" w:hAnsi="Times New Roman"/>
          <w:spacing w:val="-4"/>
          <w:sz w:val="22"/>
          <w:szCs w:val="22"/>
          <w:lang w:eastAsia="en-US"/>
        </w:rPr>
        <w:t>Az önsegélyező pénztárak által nyújtható életmódjavító önsegélyező szolgáltatások köre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önsegélyező pénztárak által nyújtható szolgáltatások igénybevétele</w:t>
      </w:r>
    </w:p>
    <w:p w:rsidR="0028550F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kiegészítő egészségpénztárra vonatkozó szabályok</w:t>
      </w:r>
    </w:p>
    <w:p w:rsidR="00086405" w:rsidRPr="00843E6A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pacing w:val="-4"/>
          <w:sz w:val="22"/>
          <w:szCs w:val="22"/>
          <w:lang w:eastAsia="en-US"/>
        </w:rPr>
      </w:pPr>
      <w:r w:rsidRPr="00843E6A">
        <w:rPr>
          <w:rFonts w:ascii="Times New Roman" w:eastAsiaTheme="minorHAnsi" w:hAnsi="Times New Roman"/>
          <w:spacing w:val="-4"/>
          <w:sz w:val="22"/>
          <w:szCs w:val="22"/>
          <w:lang w:eastAsia="en-US"/>
        </w:rPr>
        <w:t>Az egészségpénztárak által nyújtható kiegészítő egészségbiztosítási szolgáltatások köre</w:t>
      </w:r>
    </w:p>
    <w:p w:rsidR="00086405" w:rsidRPr="00843E6A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pacing w:val="-4"/>
          <w:sz w:val="22"/>
          <w:szCs w:val="22"/>
          <w:lang w:eastAsia="en-US"/>
        </w:rPr>
      </w:pPr>
      <w:r w:rsidRPr="00843E6A">
        <w:rPr>
          <w:rFonts w:ascii="Times New Roman" w:eastAsiaTheme="minorHAnsi" w:hAnsi="Times New Roman"/>
          <w:spacing w:val="-4"/>
          <w:sz w:val="22"/>
          <w:szCs w:val="22"/>
          <w:lang w:eastAsia="en-US"/>
        </w:rPr>
        <w:t>Az egészségpénztárak által nyújtható életmódjavító egészségpénztári szolgáltatások köre</w:t>
      </w:r>
    </w:p>
    <w:p w:rsidR="00086405" w:rsidRPr="00855240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Tevékenységi engedély</w:t>
      </w:r>
    </w:p>
    <w:p w:rsidR="0028550F" w:rsidRPr="00855240" w:rsidRDefault="0028550F" w:rsidP="00855240">
      <w:pPr>
        <w:spacing w:after="0"/>
        <w:rPr>
          <w:rFonts w:ascii="Times New Roman" w:hAnsi="Times New Roman"/>
        </w:rPr>
      </w:pPr>
    </w:p>
    <w:p w:rsidR="0028550F" w:rsidRPr="00855240" w:rsidRDefault="00855240" w:rsidP="00855240">
      <w:pPr>
        <w:pStyle w:val="Cmsor1"/>
        <w:rPr>
          <w:rFonts w:ascii="Times New Roman" w:hAnsi="Times New Roman"/>
        </w:rPr>
      </w:pPr>
      <w:r w:rsidRPr="00855240">
        <w:rPr>
          <w:rFonts w:ascii="Times New Roman" w:hAnsi="Times New Roman"/>
        </w:rPr>
        <w:t>A</w:t>
      </w:r>
      <w:r w:rsidR="0028550F" w:rsidRPr="00855240">
        <w:rPr>
          <w:rFonts w:ascii="Times New Roman" w:hAnsi="Times New Roman"/>
        </w:rPr>
        <w:t xml:space="preserve"> </w:t>
      </w:r>
      <w:proofErr w:type="spellStart"/>
      <w:r w:rsidR="0028550F" w:rsidRPr="00855240">
        <w:rPr>
          <w:rFonts w:ascii="Times New Roman" w:hAnsi="Times New Roman"/>
        </w:rPr>
        <w:t>magánnyugdíjpénztárak</w:t>
      </w:r>
      <w:proofErr w:type="spellEnd"/>
      <w:r w:rsidR="0028550F" w:rsidRPr="00855240">
        <w:rPr>
          <w:rFonts w:ascii="Times New Roman" w:hAnsi="Times New Roman"/>
        </w:rPr>
        <w:t xml:space="preserve"> </w:t>
      </w:r>
      <w:proofErr w:type="spellStart"/>
      <w:r w:rsidR="0028550F" w:rsidRPr="00855240">
        <w:rPr>
          <w:rFonts w:ascii="Times New Roman" w:hAnsi="Times New Roman"/>
        </w:rPr>
        <w:t>beszámolókészítés</w:t>
      </w:r>
      <w:r w:rsidRPr="00855240">
        <w:rPr>
          <w:rFonts w:ascii="Times New Roman" w:hAnsi="Times New Roman"/>
        </w:rPr>
        <w:t>e</w:t>
      </w:r>
      <w:proofErr w:type="spellEnd"/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Beszámolási kötelezettség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év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Könyvvezetési kötelezettség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pénztári beszámolóra vonatkozó általános szabályok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eszközök értékcsökkenése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mérlegtételek értékelése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A mérlegtételek alátámasztása leltárral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tagolása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tételeinek tartalma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pénzügyi teljesítmény alakulása, kimutatás tagolása, tartalma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egyesülése, szétválása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Vagyonmérleg, vagyonleltár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átalakuló pénztár vagyonmérleg-tervezete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Átalakulással létrejövő pénztár vagyonmérleg-tervezete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Végleges vagyonmérleg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Ágazatok vegyes nyugdíjpénztárrá alakulása, ágazatok szétválása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Sajátos könyvvezetési előírások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társadalombiztosítási nyugdíjrendszerbe történő visszalépéssel kapcsolatos könyvvezetési előírások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Határidős ügyletek és </w:t>
      </w:r>
      <w:proofErr w:type="spellStart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repó</w:t>
      </w:r>
      <w:proofErr w:type="spellEnd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Értékpapír-kölcsönzés elszámolása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jelentés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Könyvvizsgálati kötelezettség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Számlakeret, számlarend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Könyvviteli zárlat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előírt tagolása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előírt tagolása</w:t>
      </w:r>
    </w:p>
    <w:p w:rsidR="0028550F" w:rsidRPr="00855240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Cash-flow kimutatás</w:t>
      </w:r>
    </w:p>
    <w:p w:rsidR="0028550F" w:rsidRDefault="0028550F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Pénztári céltartalékok </w:t>
      </w:r>
    </w:p>
    <w:p w:rsidR="005C04AC" w:rsidRPr="00855240" w:rsidRDefault="005C04AC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Számlakeret-tükör</w:t>
      </w:r>
    </w:p>
    <w:p w:rsidR="00E35977" w:rsidRPr="00855240" w:rsidRDefault="00E35977" w:rsidP="00855240">
      <w:pPr>
        <w:spacing w:after="0"/>
        <w:rPr>
          <w:rFonts w:ascii="Times New Roman" w:hAnsi="Times New Roman"/>
        </w:rPr>
      </w:pPr>
    </w:p>
    <w:p w:rsidR="00E35977" w:rsidRPr="00855240" w:rsidRDefault="00855240" w:rsidP="00855240">
      <w:pPr>
        <w:pStyle w:val="Cmsor1"/>
        <w:rPr>
          <w:rFonts w:ascii="Times New Roman" w:hAnsi="Times New Roman"/>
        </w:rPr>
      </w:pPr>
      <w:r w:rsidRPr="00855240">
        <w:rPr>
          <w:rFonts w:ascii="Times New Roman" w:hAnsi="Times New Roman"/>
        </w:rPr>
        <w:t>A</w:t>
      </w:r>
      <w:r w:rsidR="00E35977" w:rsidRPr="00855240">
        <w:rPr>
          <w:rFonts w:ascii="Times New Roman" w:hAnsi="Times New Roman"/>
        </w:rPr>
        <w:t xml:space="preserve">z önkéntes nyugdíjpénztárak </w:t>
      </w:r>
      <w:proofErr w:type="spellStart"/>
      <w:r w:rsidR="00E35977" w:rsidRPr="00855240">
        <w:rPr>
          <w:rFonts w:ascii="Times New Roman" w:hAnsi="Times New Roman"/>
        </w:rPr>
        <w:t>beszámolókészítési</w:t>
      </w:r>
      <w:proofErr w:type="spellEnd"/>
      <w:r w:rsidR="00E35977" w:rsidRPr="00855240">
        <w:rPr>
          <w:rFonts w:ascii="Times New Roman" w:hAnsi="Times New Roman"/>
        </w:rPr>
        <w:t xml:space="preserve"> és könyvvezetési kötelezettség</w:t>
      </w:r>
      <w:r w:rsidRPr="00855240">
        <w:rPr>
          <w:rFonts w:ascii="Times New Roman" w:hAnsi="Times New Roman"/>
        </w:rPr>
        <w:t>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Beszámolási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év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Könyvvezetési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pénztári beszámolóra vonatkozó általános szabályok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eszközök értékcsökkenése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mérlegtételek értékelése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mérlegtételek alátámasztása leltárral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tartalma,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tételeinek tartalma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pénzügyi teljesítmény alakulása kimutatás tagolása, tartalma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Portfólió állomány kimutatás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egyesülése, szétválása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Vagyonmérleg, vagyonleltár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átalakuló pénztár vagyonmérleg-tervezete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Átalakulással létrejövő pénztár vagyonmérleg-tervezete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Végleges vagyonmérleg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Ágazatok vegyes nyugdíjpénztárrá alakulása, ágazatok szétválása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Sajátos könyvvezetési előírások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Határidős ügyletek és </w:t>
      </w:r>
      <w:proofErr w:type="spellStart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repó</w:t>
      </w:r>
      <w:proofErr w:type="spellEnd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Értékpapír-kölcsönzés elszámolása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jelentés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Könyvvizsgálati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Számlakeret, számlarend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Könyvviteli zárlat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előírt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egyesített (összesített) mérleg előírt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előírt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egyesített (összesített) eredménykimutatás előírt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Cashflow</w:t>
      </w:r>
      <w:proofErr w:type="spellEnd"/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 xml:space="preserve"> kimutatás</w:t>
      </w:r>
    </w:p>
    <w:p w:rsidR="00E35977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Pénztári céltartalékok</w:t>
      </w:r>
    </w:p>
    <w:p w:rsidR="00086405" w:rsidRPr="00855240" w:rsidRDefault="00086405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Számlakeret-tükör</w:t>
      </w:r>
    </w:p>
    <w:p w:rsidR="00E35977" w:rsidRPr="00855240" w:rsidRDefault="00E35977" w:rsidP="00855240">
      <w:pPr>
        <w:spacing w:after="0"/>
        <w:rPr>
          <w:rFonts w:ascii="Times New Roman" w:hAnsi="Times New Roman"/>
        </w:rPr>
      </w:pPr>
    </w:p>
    <w:p w:rsidR="00E35977" w:rsidRPr="00855240" w:rsidRDefault="00855240" w:rsidP="00855240">
      <w:pPr>
        <w:pStyle w:val="Cmsor1"/>
        <w:rPr>
          <w:rFonts w:ascii="Times New Roman" w:hAnsi="Times New Roman"/>
        </w:rPr>
      </w:pPr>
      <w:r w:rsidRPr="00855240">
        <w:rPr>
          <w:rFonts w:ascii="Times New Roman" w:hAnsi="Times New Roman"/>
        </w:rPr>
        <w:t>A</w:t>
      </w:r>
      <w:r w:rsidR="00E35977" w:rsidRPr="00855240">
        <w:rPr>
          <w:rFonts w:ascii="Times New Roman" w:hAnsi="Times New Roman"/>
        </w:rPr>
        <w:t xml:space="preserve">z önkéntes kölcsönös egészség- és önsegélyező pénztárak </w:t>
      </w:r>
      <w:proofErr w:type="spellStart"/>
      <w:r w:rsidR="00E35977" w:rsidRPr="00855240">
        <w:rPr>
          <w:rFonts w:ascii="Times New Roman" w:hAnsi="Times New Roman"/>
        </w:rPr>
        <w:t>beszámolókészítés</w:t>
      </w:r>
      <w:r w:rsidRPr="00855240">
        <w:rPr>
          <w:rFonts w:ascii="Times New Roman" w:hAnsi="Times New Roman"/>
        </w:rPr>
        <w:t>e</w:t>
      </w:r>
      <w:proofErr w:type="spellEnd"/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Beszámolási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év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Könyvvezetési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Számviteli alapelvek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pénztári beszámolóra vonatkozó általános szabályok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mérlegtételek értékelésének szabályai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eszközök értékcsökkenése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mérlegtételek alátámasztása leltárral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tartalma,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pénzforgalmi jelentés, a pénztár által finanszírozott szolgáltatások adatait tartalmazó kimutatás tagolása és tartalma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Portfólió állomány kimutatás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pénztárak egyesülése, szétválása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Vagyonmérleg, vagyonleltár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átalakuló pénztár vagyonmérleg-tervezete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Átalakulással létrejövő pénztár vagyonmérleg-tervezete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Végleges vagyonmérleg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Üzleti jelentés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Könyvvizsgálati kötelezettség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Számlakeret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Számlarend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Könyvviteli zárlat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Bizonylati elv és bizonylati fegyelem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mérleg előírt tagolása</w:t>
      </w:r>
    </w:p>
    <w:p w:rsidR="00E35977" w:rsidRPr="00855240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Az eredménykimutatás előírt tagolása</w:t>
      </w:r>
    </w:p>
    <w:p w:rsidR="00E35977" w:rsidRDefault="00E35977" w:rsidP="00855240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55240">
        <w:rPr>
          <w:rFonts w:ascii="Times New Roman" w:eastAsiaTheme="minorHAnsi" w:hAnsi="Times New Roman"/>
          <w:sz w:val="22"/>
          <w:szCs w:val="22"/>
          <w:lang w:eastAsia="en-US"/>
        </w:rPr>
        <w:t>A pénztári alapok alakulása</w:t>
      </w:r>
    </w:p>
    <w:p w:rsidR="00E35977" w:rsidRPr="00843E6A" w:rsidRDefault="005C04AC" w:rsidP="00843E6A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Számlakeret-tükör</w:t>
      </w:r>
    </w:p>
    <w:sectPr w:rsidR="00E35977" w:rsidRPr="00843E6A" w:rsidSect="003160C4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F8" w:rsidRDefault="00B815F8" w:rsidP="003160C4">
      <w:pPr>
        <w:spacing w:after="0"/>
      </w:pPr>
      <w:r>
        <w:separator/>
      </w:r>
    </w:p>
  </w:endnote>
  <w:endnote w:type="continuationSeparator" w:id="0">
    <w:p w:rsidR="00B815F8" w:rsidRDefault="00B815F8" w:rsidP="00316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B32064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B32064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58DB">
      <w:rPr>
        <w:rStyle w:val="Oldalszm"/>
        <w:noProof/>
      </w:rPr>
      <w:t>4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A" w:rsidRDefault="00B32064">
    <w:pPr>
      <w:pStyle w:val="llb"/>
      <w:jc w:val="center"/>
    </w:pPr>
    <w:r>
      <w:fldChar w:fldCharType="begin"/>
    </w:r>
    <w:r w:rsidR="0009470A">
      <w:instrText>PAGE   \* MERGEFORMAT</w:instrText>
    </w:r>
    <w:r>
      <w:fldChar w:fldCharType="separate"/>
    </w:r>
    <w:r w:rsidR="00CD58DB">
      <w:rPr>
        <w:noProof/>
      </w:rPr>
      <w:t>1</w:t>
    </w:r>
    <w:r>
      <w:fldChar w:fldCharType="end"/>
    </w:r>
  </w:p>
  <w:p w:rsidR="0009470A" w:rsidRDefault="000947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F8" w:rsidRDefault="00B815F8" w:rsidP="003160C4">
      <w:pPr>
        <w:spacing w:after="0"/>
      </w:pPr>
      <w:r>
        <w:separator/>
      </w:r>
    </w:p>
  </w:footnote>
  <w:footnote w:type="continuationSeparator" w:id="0">
    <w:p w:rsidR="00B815F8" w:rsidRDefault="00B815F8" w:rsidP="003160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7D3F1D"/>
    <w:multiLevelType w:val="hybridMultilevel"/>
    <w:tmpl w:val="FD763E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973EDD"/>
    <w:multiLevelType w:val="hybridMultilevel"/>
    <w:tmpl w:val="A464F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39495814"/>
    <w:multiLevelType w:val="hybridMultilevel"/>
    <w:tmpl w:val="A27E345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A59F9"/>
    <w:multiLevelType w:val="hybridMultilevel"/>
    <w:tmpl w:val="EEB66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8"/>
    <w:rsid w:val="00024F06"/>
    <w:rsid w:val="00063C9A"/>
    <w:rsid w:val="00086405"/>
    <w:rsid w:val="000879A1"/>
    <w:rsid w:val="0009470A"/>
    <w:rsid w:val="000C6567"/>
    <w:rsid w:val="000D38E4"/>
    <w:rsid w:val="00104378"/>
    <w:rsid w:val="00136146"/>
    <w:rsid w:val="0013671D"/>
    <w:rsid w:val="001453AE"/>
    <w:rsid w:val="001708D4"/>
    <w:rsid w:val="00185FA8"/>
    <w:rsid w:val="001928EF"/>
    <w:rsid w:val="001D665A"/>
    <w:rsid w:val="001F0EE5"/>
    <w:rsid w:val="00233C3E"/>
    <w:rsid w:val="002568FB"/>
    <w:rsid w:val="002627A5"/>
    <w:rsid w:val="002648F4"/>
    <w:rsid w:val="0026689E"/>
    <w:rsid w:val="0028550F"/>
    <w:rsid w:val="002C0012"/>
    <w:rsid w:val="00310518"/>
    <w:rsid w:val="003160C4"/>
    <w:rsid w:val="00336AF1"/>
    <w:rsid w:val="00350117"/>
    <w:rsid w:val="00373718"/>
    <w:rsid w:val="00382A68"/>
    <w:rsid w:val="00411295"/>
    <w:rsid w:val="00413E9D"/>
    <w:rsid w:val="00414255"/>
    <w:rsid w:val="00444766"/>
    <w:rsid w:val="00485BD1"/>
    <w:rsid w:val="004A3868"/>
    <w:rsid w:val="004B73E9"/>
    <w:rsid w:val="00545A9F"/>
    <w:rsid w:val="0055230D"/>
    <w:rsid w:val="00567DFA"/>
    <w:rsid w:val="005840C5"/>
    <w:rsid w:val="00590DE8"/>
    <w:rsid w:val="005A2B1A"/>
    <w:rsid w:val="005C04AC"/>
    <w:rsid w:val="00637273"/>
    <w:rsid w:val="006D2CBC"/>
    <w:rsid w:val="006F2061"/>
    <w:rsid w:val="00705072"/>
    <w:rsid w:val="00755788"/>
    <w:rsid w:val="00756C72"/>
    <w:rsid w:val="0077779A"/>
    <w:rsid w:val="00814CF9"/>
    <w:rsid w:val="00843E6A"/>
    <w:rsid w:val="00850B76"/>
    <w:rsid w:val="00855240"/>
    <w:rsid w:val="00867C04"/>
    <w:rsid w:val="008A3CF2"/>
    <w:rsid w:val="008A6392"/>
    <w:rsid w:val="008C424C"/>
    <w:rsid w:val="009129BF"/>
    <w:rsid w:val="0096529C"/>
    <w:rsid w:val="009C1014"/>
    <w:rsid w:val="00A1167C"/>
    <w:rsid w:val="00A26D76"/>
    <w:rsid w:val="00A8593B"/>
    <w:rsid w:val="00AA3E40"/>
    <w:rsid w:val="00AF44C0"/>
    <w:rsid w:val="00AF681E"/>
    <w:rsid w:val="00B11E02"/>
    <w:rsid w:val="00B26EE0"/>
    <w:rsid w:val="00B32064"/>
    <w:rsid w:val="00B815F8"/>
    <w:rsid w:val="00B97645"/>
    <w:rsid w:val="00BC0D3D"/>
    <w:rsid w:val="00BE17BE"/>
    <w:rsid w:val="00C80F23"/>
    <w:rsid w:val="00C930C4"/>
    <w:rsid w:val="00CD58DB"/>
    <w:rsid w:val="00D10DB4"/>
    <w:rsid w:val="00D136A1"/>
    <w:rsid w:val="00D51348"/>
    <w:rsid w:val="00D8589C"/>
    <w:rsid w:val="00E01CC6"/>
    <w:rsid w:val="00E06987"/>
    <w:rsid w:val="00E150DF"/>
    <w:rsid w:val="00E27C28"/>
    <w:rsid w:val="00E35977"/>
    <w:rsid w:val="00E41132"/>
    <w:rsid w:val="00E932E3"/>
    <w:rsid w:val="00EB236F"/>
    <w:rsid w:val="00EB3F3E"/>
    <w:rsid w:val="00EC0DA3"/>
    <w:rsid w:val="00EC593C"/>
    <w:rsid w:val="00EE1FAD"/>
    <w:rsid w:val="00EF71E6"/>
    <w:rsid w:val="00F02254"/>
    <w:rsid w:val="00F03BE6"/>
    <w:rsid w:val="00F437C3"/>
    <w:rsid w:val="00F50AE5"/>
    <w:rsid w:val="00F60B75"/>
    <w:rsid w:val="00F65DFD"/>
    <w:rsid w:val="00F67F38"/>
    <w:rsid w:val="00F86CDD"/>
    <w:rsid w:val="00F975F5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81E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99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70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470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76AEF-1812-46DF-9D45-B63BEF63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fkrisztina</cp:lastModifiedBy>
  <cp:revision>2</cp:revision>
  <cp:lastPrinted>2013-11-25T14:51:00Z</cp:lastPrinted>
  <dcterms:created xsi:type="dcterms:W3CDTF">2016-01-15T07:41:00Z</dcterms:created>
  <dcterms:modified xsi:type="dcterms:W3CDTF">2016-01-15T07:41:00Z</dcterms:modified>
</cp:coreProperties>
</file>