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CC6" w:rsidRPr="00567DFA" w:rsidRDefault="00E01CC6" w:rsidP="00637273">
      <w:pPr>
        <w:pStyle w:val="NormlWeb"/>
        <w:spacing w:before="0" w:beforeAutospacing="0" w:after="0" w:afterAutospacing="0"/>
        <w:jc w:val="right"/>
        <w:rPr>
          <w:rStyle w:val="Kiemels2"/>
          <w:b w:val="0"/>
          <w:color w:val="000000"/>
        </w:rPr>
      </w:pPr>
      <w:r w:rsidRPr="00567DFA">
        <w:rPr>
          <w:rStyle w:val="Kiemels2"/>
          <w:b w:val="0"/>
          <w:color w:val="000000"/>
        </w:rPr>
        <w:t>1. SZÁMÚ MELLÉKLET</w:t>
      </w:r>
    </w:p>
    <w:p w:rsidR="00E01CC6" w:rsidRPr="00567DFA" w:rsidRDefault="00E01CC6" w:rsidP="00637273">
      <w:pPr>
        <w:pStyle w:val="lfej"/>
        <w:tabs>
          <w:tab w:val="left" w:pos="708"/>
        </w:tabs>
        <w:spacing w:after="480" w:line="360" w:lineRule="auto"/>
        <w:jc w:val="right"/>
      </w:pPr>
      <w:r w:rsidRPr="00567DFA">
        <w:t>A szakmai minősítő vizsga szabályzathoz</w:t>
      </w:r>
    </w:p>
    <w:p w:rsidR="00E01CC6" w:rsidRPr="00567DFA" w:rsidRDefault="00E01CC6" w:rsidP="00637273">
      <w:pPr>
        <w:pStyle w:val="NormlWeb"/>
        <w:spacing w:before="0" w:beforeAutospacing="0" w:after="0" w:afterAutospacing="0"/>
        <w:jc w:val="center"/>
        <w:rPr>
          <w:rStyle w:val="Kiemels2"/>
          <w:caps/>
          <w:color w:val="000000"/>
        </w:rPr>
      </w:pPr>
      <w:r w:rsidRPr="00567DFA">
        <w:rPr>
          <w:rStyle w:val="Kiemels2"/>
          <w:caps/>
          <w:color w:val="000000"/>
        </w:rPr>
        <w:t>AZ IFRS SZAKMAI MINŐSÍTŐ VIZSGA TARTALMI követelményei</w:t>
      </w:r>
    </w:p>
    <w:p w:rsidR="00E01CC6" w:rsidRPr="00567DFA" w:rsidRDefault="00E01CC6" w:rsidP="00E932E3">
      <w:pPr>
        <w:pStyle w:val="NormlWeb"/>
        <w:spacing w:before="0" w:beforeAutospacing="0" w:after="0" w:afterAutospacing="0"/>
        <w:jc w:val="both"/>
        <w:rPr>
          <w:iCs/>
          <w:color w:val="000000"/>
        </w:rPr>
      </w:pPr>
    </w:p>
    <w:p w:rsidR="00E01CC6" w:rsidRPr="00567DFA" w:rsidRDefault="00E01CC6" w:rsidP="00E932E3">
      <w:pPr>
        <w:pStyle w:val="NormlWeb"/>
        <w:spacing w:before="0" w:beforeAutospacing="0" w:after="0" w:afterAutospacing="0"/>
        <w:jc w:val="both"/>
        <w:rPr>
          <w:iCs/>
          <w:color w:val="000000"/>
        </w:rPr>
      </w:pPr>
    </w:p>
    <w:p w:rsidR="00E01CC6" w:rsidRPr="00567DFA" w:rsidRDefault="00E01CC6" w:rsidP="00373718">
      <w:pPr>
        <w:spacing w:after="0"/>
        <w:rPr>
          <w:rFonts w:ascii="Times New Roman" w:hAnsi="Times New Roman"/>
        </w:rPr>
      </w:pPr>
      <w:r w:rsidRPr="00567DFA">
        <w:rPr>
          <w:rFonts w:ascii="Times New Roman" w:hAnsi="Times New Roman"/>
          <w:iCs/>
          <w:color w:val="000000"/>
        </w:rPr>
        <w:t xml:space="preserve">A vizsga sikeres teljesítéséhez a IFRS-ek átfogó ismerete szükséges. </w:t>
      </w:r>
      <w:r w:rsidRPr="00567DFA">
        <w:rPr>
          <w:rFonts w:ascii="Times New Roman" w:hAnsi="Times New Roman"/>
        </w:rPr>
        <w:t xml:space="preserve">A vizsga során azokat az IFRS-eket kell alkalmazni, ismertetni, amelyek a vizsga napját is magában foglaló évet megelőző év </w:t>
      </w:r>
      <w:r w:rsidR="0025752E">
        <w:rPr>
          <w:rFonts w:ascii="Times New Roman" w:hAnsi="Times New Roman"/>
        </w:rPr>
        <w:t>január</w:t>
      </w:r>
      <w:r w:rsidRPr="00567DFA">
        <w:rPr>
          <w:rFonts w:ascii="Times New Roman" w:hAnsi="Times New Roman"/>
        </w:rPr>
        <w:t xml:space="preserve"> 1. napján már alkalmazandóak és a vizsga napján még hatályosak. A tervezeteket (ED) nem kell részleteiben ismerni, azonban a folyamatban lévő változások körvonalaival tisztában kell lenni.</w:t>
      </w:r>
    </w:p>
    <w:p w:rsidR="00E01CC6" w:rsidRDefault="00E01CC6" w:rsidP="00E932E3">
      <w:pPr>
        <w:pStyle w:val="NormlWeb"/>
        <w:spacing w:before="0" w:beforeAutospacing="0" w:after="0" w:afterAutospacing="0"/>
        <w:jc w:val="both"/>
        <w:rPr>
          <w:iCs/>
          <w:color w:val="000000"/>
        </w:rPr>
      </w:pPr>
    </w:p>
    <w:p w:rsidR="00E01CC6" w:rsidRDefault="00E01CC6" w:rsidP="00E932E3">
      <w:pPr>
        <w:pStyle w:val="NormlWeb"/>
        <w:spacing w:before="0" w:beforeAutospacing="0" w:after="0" w:afterAutospacing="0"/>
        <w:jc w:val="both"/>
        <w:rPr>
          <w:iCs/>
          <w:color w:val="000000"/>
        </w:rPr>
      </w:pPr>
    </w:p>
    <w:p w:rsidR="00E01CC6" w:rsidRPr="00373718" w:rsidRDefault="00E01CC6" w:rsidP="00E932E3">
      <w:pPr>
        <w:pStyle w:val="NormlWeb"/>
        <w:spacing w:before="0" w:beforeAutospacing="0" w:after="0" w:afterAutospacing="0"/>
        <w:jc w:val="both"/>
        <w:rPr>
          <w:b/>
          <w:iCs/>
          <w:color w:val="000000"/>
        </w:rPr>
      </w:pPr>
      <w:r w:rsidRPr="00373718">
        <w:rPr>
          <w:b/>
          <w:iCs/>
          <w:color w:val="000000"/>
        </w:rPr>
        <w:t>A feldolgozott témakörök a következők</w:t>
      </w:r>
      <w:r>
        <w:rPr>
          <w:b/>
          <w:iCs/>
          <w:color w:val="000000"/>
        </w:rPr>
        <w:t>:</w:t>
      </w:r>
    </w:p>
    <w:p w:rsidR="00E01CC6" w:rsidRPr="00567DFA" w:rsidRDefault="00E01CC6" w:rsidP="00E932E3">
      <w:pPr>
        <w:spacing w:after="0"/>
        <w:rPr>
          <w:rFonts w:ascii="Times New Roman" w:hAnsi="Times New Roman"/>
          <w:b/>
        </w:rPr>
      </w:pPr>
    </w:p>
    <w:p w:rsidR="00E01CC6" w:rsidRPr="00567DFA" w:rsidRDefault="00E01CC6" w:rsidP="00E932E3">
      <w:pPr>
        <w:spacing w:after="0"/>
        <w:rPr>
          <w:rFonts w:ascii="Times New Roman" w:hAnsi="Times New Roman"/>
          <w:b/>
        </w:rPr>
      </w:pPr>
      <w:r w:rsidRPr="00567DFA">
        <w:rPr>
          <w:rFonts w:ascii="Times New Roman" w:hAnsi="Times New Roman"/>
          <w:b/>
        </w:rPr>
        <w:t>Nemzetközi és összehasonlító számviteli alapok</w:t>
      </w:r>
    </w:p>
    <w:p w:rsidR="00E01CC6" w:rsidRPr="00567DFA" w:rsidRDefault="00E01CC6" w:rsidP="00E932E3">
      <w:pPr>
        <w:spacing w:after="0"/>
        <w:rPr>
          <w:rFonts w:ascii="Times New Roman" w:hAnsi="Times New Roman"/>
        </w:rPr>
      </w:pPr>
      <w:r w:rsidRPr="00567DFA">
        <w:rPr>
          <w:rFonts w:ascii="Times New Roman" w:hAnsi="Times New Roman"/>
        </w:rPr>
        <w:t xml:space="preserve">A nemzetközi számviteli standardok kialakulásának az okai, ezek elfogadása. </w:t>
      </w:r>
    </w:p>
    <w:p w:rsidR="00E01CC6" w:rsidRPr="00567DFA" w:rsidRDefault="00E01CC6" w:rsidP="00E932E3">
      <w:pPr>
        <w:spacing w:after="0"/>
        <w:rPr>
          <w:rFonts w:ascii="Times New Roman" w:hAnsi="Times New Roman"/>
        </w:rPr>
      </w:pPr>
      <w:r w:rsidRPr="00567DFA">
        <w:rPr>
          <w:rFonts w:ascii="Times New Roman" w:hAnsi="Times New Roman"/>
        </w:rPr>
        <w:t>Az IFRS-ek hasznosítása. Az EU és az IFRS-ek. A globális számviteli szabályozás.</w:t>
      </w:r>
    </w:p>
    <w:p w:rsidR="00E01CC6" w:rsidRPr="00567DFA" w:rsidRDefault="00E01CC6" w:rsidP="00E932E3">
      <w:pPr>
        <w:spacing w:after="0"/>
        <w:rPr>
          <w:rFonts w:ascii="Times New Roman" w:hAnsi="Times New Roman"/>
          <w:b/>
        </w:rPr>
      </w:pPr>
    </w:p>
    <w:p w:rsidR="00E01CC6" w:rsidRPr="00567DFA" w:rsidRDefault="00E01CC6" w:rsidP="00E932E3">
      <w:pPr>
        <w:spacing w:after="0"/>
        <w:rPr>
          <w:rFonts w:ascii="Times New Roman" w:hAnsi="Times New Roman"/>
          <w:b/>
        </w:rPr>
      </w:pPr>
      <w:r w:rsidRPr="00567DFA">
        <w:rPr>
          <w:rFonts w:ascii="Times New Roman" w:hAnsi="Times New Roman"/>
          <w:b/>
        </w:rPr>
        <w:t>Keretelvek</w:t>
      </w:r>
    </w:p>
    <w:p w:rsidR="00E01CC6" w:rsidRPr="00567DFA" w:rsidRDefault="00E01CC6" w:rsidP="00E932E3">
      <w:pPr>
        <w:spacing w:after="0"/>
        <w:rPr>
          <w:rFonts w:ascii="Times New Roman" w:hAnsi="Times New Roman"/>
        </w:rPr>
      </w:pPr>
      <w:r w:rsidRPr="00567DFA">
        <w:rPr>
          <w:rFonts w:ascii="Times New Roman" w:hAnsi="Times New Roman"/>
        </w:rPr>
        <w:t xml:space="preserve">A pénzügyi kimutatások részei és elemei. Az egyes elemek pontos definíciója és </w:t>
      </w:r>
      <w:r w:rsidRPr="00915027">
        <w:rPr>
          <w:rFonts w:ascii="Times New Roman" w:hAnsi="Times New Roman"/>
        </w:rPr>
        <w:t>tartalma. Eszközök, kötelezettségek, saját tőke, hozamok, ráfordítások az IFRS felfogásában. A pénzügyi kimutatások célja. A</w:t>
      </w:r>
      <w:r w:rsidRPr="00567DFA">
        <w:rPr>
          <w:rFonts w:ascii="Times New Roman" w:hAnsi="Times New Roman"/>
        </w:rPr>
        <w:t xml:space="preserve"> mögöttes föltételezések. Az elsődleges és másodlagos minőségi jellemzők.</w:t>
      </w:r>
    </w:p>
    <w:p w:rsidR="00E01CC6" w:rsidRPr="00567DFA" w:rsidRDefault="00E01CC6" w:rsidP="00E932E3">
      <w:pPr>
        <w:spacing w:after="0"/>
        <w:rPr>
          <w:rFonts w:ascii="Times New Roman" w:hAnsi="Times New Roman"/>
          <w:b/>
        </w:rPr>
      </w:pPr>
    </w:p>
    <w:p w:rsidR="00E01CC6" w:rsidRPr="00567DFA" w:rsidRDefault="00E01CC6" w:rsidP="00E932E3">
      <w:pPr>
        <w:spacing w:after="0"/>
        <w:rPr>
          <w:rFonts w:ascii="Times New Roman" w:hAnsi="Times New Roman"/>
          <w:b/>
        </w:rPr>
      </w:pPr>
      <w:r w:rsidRPr="00567DFA">
        <w:rPr>
          <w:rFonts w:ascii="Times New Roman" w:hAnsi="Times New Roman"/>
          <w:b/>
        </w:rPr>
        <w:t>Prezentálás</w:t>
      </w:r>
    </w:p>
    <w:p w:rsidR="00E01CC6" w:rsidRPr="00567DFA" w:rsidRDefault="00E01CC6" w:rsidP="00E932E3">
      <w:pPr>
        <w:spacing w:after="0"/>
        <w:rPr>
          <w:rFonts w:ascii="Times New Roman" w:hAnsi="Times New Roman"/>
        </w:rPr>
      </w:pPr>
      <w:r w:rsidRPr="00567DFA">
        <w:rPr>
          <w:rFonts w:ascii="Times New Roman" w:hAnsi="Times New Roman"/>
        </w:rPr>
        <w:t xml:space="preserve">Az pénzügyi kimutatások alapvető tartalma. A pénzügyi kimutatások javasolt struktúrája. A mérleg. A rövid/hosszú elkülönítés. A minimális tartalom. Az átfogó eredménykimutatás. Az átfogó eredmény koncepció. A tőkeváltozás kimutatás. A tulajdonosi tranzakciók lényege/tartalma. A közzétételek. A kiegészítő megjegyzések javasolt struktúrája. A kiegészítő megjegyzések általános formája. A tőkekezelés és az átfogó közzétételek. </w:t>
      </w:r>
    </w:p>
    <w:p w:rsidR="00E01CC6" w:rsidRDefault="00E01CC6" w:rsidP="00E932E3">
      <w:pPr>
        <w:spacing w:after="0"/>
        <w:rPr>
          <w:rFonts w:ascii="Times New Roman" w:hAnsi="Times New Roman"/>
        </w:rPr>
      </w:pPr>
      <w:r w:rsidRPr="00567DFA">
        <w:rPr>
          <w:rFonts w:ascii="Times New Roman" w:hAnsi="Times New Roman"/>
        </w:rPr>
        <w:t>Közbenső pénzügyi kimutatások. A sűrített adatszolgáltatás tartalma. Becslések a közbenső kimutatásokban.</w:t>
      </w:r>
    </w:p>
    <w:p w:rsidR="007D212F" w:rsidRPr="00567DFA" w:rsidRDefault="007D212F" w:rsidP="00E932E3">
      <w:pPr>
        <w:spacing w:after="0"/>
        <w:rPr>
          <w:rFonts w:ascii="Times New Roman" w:hAnsi="Times New Roman"/>
        </w:rPr>
      </w:pPr>
    </w:p>
    <w:p w:rsidR="00E01CC6" w:rsidRPr="00567DFA" w:rsidRDefault="00E01CC6" w:rsidP="00E932E3">
      <w:pPr>
        <w:spacing w:after="0"/>
        <w:rPr>
          <w:rFonts w:ascii="Times New Roman" w:hAnsi="Times New Roman"/>
          <w:b/>
        </w:rPr>
      </w:pPr>
    </w:p>
    <w:p w:rsidR="00E01CC6" w:rsidRPr="00567DFA" w:rsidRDefault="00E01CC6" w:rsidP="00E932E3">
      <w:pPr>
        <w:spacing w:after="0"/>
        <w:rPr>
          <w:rFonts w:ascii="Times New Roman" w:hAnsi="Times New Roman"/>
          <w:b/>
        </w:rPr>
      </w:pPr>
      <w:r w:rsidRPr="00567DFA">
        <w:rPr>
          <w:rFonts w:ascii="Times New Roman" w:hAnsi="Times New Roman"/>
          <w:b/>
        </w:rPr>
        <w:t>Készletek</w:t>
      </w:r>
    </w:p>
    <w:p w:rsidR="00E01CC6" w:rsidRPr="00567DFA" w:rsidRDefault="00E01CC6" w:rsidP="00E932E3">
      <w:pPr>
        <w:spacing w:after="0"/>
        <w:rPr>
          <w:rFonts w:ascii="Times New Roman" w:hAnsi="Times New Roman"/>
        </w:rPr>
      </w:pPr>
      <w:r w:rsidRPr="00567DFA">
        <w:rPr>
          <w:rFonts w:ascii="Times New Roman" w:hAnsi="Times New Roman"/>
        </w:rPr>
        <w:t>Készletek fogalma, megjelenítése, első és követő értékelése. A bekerülési költség tartalma. A költségformulák. A nettó realizálható érték számítása. Közzétételek. Speciális helyzetek.</w:t>
      </w:r>
    </w:p>
    <w:p w:rsidR="00E01CC6" w:rsidRPr="00567DFA" w:rsidRDefault="00E01CC6" w:rsidP="00E932E3">
      <w:pPr>
        <w:spacing w:after="0"/>
        <w:rPr>
          <w:rFonts w:ascii="Times New Roman" w:hAnsi="Times New Roman"/>
          <w:b/>
        </w:rPr>
      </w:pPr>
    </w:p>
    <w:p w:rsidR="00E01CC6" w:rsidRPr="00567DFA" w:rsidRDefault="00E01CC6" w:rsidP="00E932E3">
      <w:pPr>
        <w:spacing w:after="0"/>
        <w:rPr>
          <w:rFonts w:ascii="Times New Roman" w:hAnsi="Times New Roman"/>
          <w:b/>
        </w:rPr>
      </w:pPr>
      <w:r w:rsidRPr="00567DFA">
        <w:rPr>
          <w:rFonts w:ascii="Times New Roman" w:hAnsi="Times New Roman"/>
          <w:b/>
        </w:rPr>
        <w:t>Tárgyi eszközök</w:t>
      </w:r>
    </w:p>
    <w:p w:rsidR="00E01CC6" w:rsidRPr="00567DFA" w:rsidRDefault="00E01CC6" w:rsidP="00E932E3">
      <w:pPr>
        <w:spacing w:after="0"/>
        <w:rPr>
          <w:rFonts w:ascii="Times New Roman" w:hAnsi="Times New Roman"/>
        </w:rPr>
      </w:pPr>
      <w:r w:rsidRPr="00567DFA">
        <w:rPr>
          <w:rFonts w:ascii="Times New Roman" w:hAnsi="Times New Roman"/>
        </w:rPr>
        <w:t>A tárgyi eszközök fogalma, megjelenítése, első és követő értékelése. A bekerülési költség tartalma. A követő költségek (specialitások). Az értékcsökkenés. Követő értékelés: költség modell vs. átértékelési modell. Közzétételi költekezettségek.</w:t>
      </w:r>
    </w:p>
    <w:p w:rsidR="00E01CC6" w:rsidRPr="00567DFA" w:rsidRDefault="00E01CC6" w:rsidP="00E932E3">
      <w:pPr>
        <w:spacing w:after="0"/>
        <w:rPr>
          <w:rFonts w:ascii="Times New Roman" w:hAnsi="Times New Roman"/>
        </w:rPr>
      </w:pPr>
    </w:p>
    <w:p w:rsidR="00E01CC6" w:rsidRPr="00567DFA" w:rsidRDefault="00E01CC6" w:rsidP="00E932E3">
      <w:pPr>
        <w:spacing w:after="0"/>
        <w:rPr>
          <w:rFonts w:ascii="Times New Roman" w:hAnsi="Times New Roman"/>
          <w:b/>
        </w:rPr>
      </w:pPr>
      <w:r w:rsidRPr="00567DFA">
        <w:rPr>
          <w:rFonts w:ascii="Times New Roman" w:hAnsi="Times New Roman"/>
          <w:b/>
        </w:rPr>
        <w:t>Befektetési célú ingatlanok</w:t>
      </w:r>
    </w:p>
    <w:p w:rsidR="00E01CC6" w:rsidRPr="00567DFA" w:rsidRDefault="00E01CC6" w:rsidP="00E932E3">
      <w:pPr>
        <w:spacing w:after="0"/>
        <w:rPr>
          <w:rFonts w:ascii="Times New Roman" w:hAnsi="Times New Roman"/>
        </w:rPr>
      </w:pPr>
      <w:r w:rsidRPr="00567DFA">
        <w:rPr>
          <w:rFonts w:ascii="Times New Roman" w:hAnsi="Times New Roman"/>
        </w:rPr>
        <w:t>Fogalom, megjelenítés, első és követő értékelés. A valós érték modell tartalma. A valós érték koncepció. Közzétételi kötelezettségek.</w:t>
      </w:r>
    </w:p>
    <w:p w:rsidR="00E01CC6" w:rsidRPr="00567DFA" w:rsidRDefault="00E01CC6" w:rsidP="00E932E3">
      <w:pPr>
        <w:spacing w:after="0"/>
        <w:rPr>
          <w:rFonts w:ascii="Times New Roman" w:hAnsi="Times New Roman"/>
        </w:rPr>
      </w:pPr>
    </w:p>
    <w:p w:rsidR="00E01CC6" w:rsidRPr="00567DFA" w:rsidRDefault="00E01CC6" w:rsidP="00E932E3">
      <w:pPr>
        <w:spacing w:after="0"/>
        <w:rPr>
          <w:rFonts w:ascii="Times New Roman" w:hAnsi="Times New Roman"/>
          <w:b/>
        </w:rPr>
      </w:pPr>
      <w:r w:rsidRPr="00567DFA">
        <w:rPr>
          <w:rFonts w:ascii="Times New Roman" w:hAnsi="Times New Roman"/>
          <w:b/>
        </w:rPr>
        <w:t>Hitelfelvételei költségek</w:t>
      </w:r>
    </w:p>
    <w:p w:rsidR="00E01CC6" w:rsidRPr="00567DFA" w:rsidRDefault="00E01CC6" w:rsidP="00E932E3">
      <w:pPr>
        <w:spacing w:after="0"/>
        <w:rPr>
          <w:rFonts w:ascii="Times New Roman" w:hAnsi="Times New Roman"/>
        </w:rPr>
      </w:pPr>
      <w:r w:rsidRPr="00567DFA">
        <w:rPr>
          <w:rFonts w:ascii="Times New Roman" w:hAnsi="Times New Roman"/>
        </w:rPr>
        <w:t xml:space="preserve">A hitelfelvételi költségek jelentése és tartalma. Minősített eszközök. Dedikált és általános célú hitelek. </w:t>
      </w:r>
    </w:p>
    <w:p w:rsidR="00E01CC6" w:rsidRPr="00567DFA" w:rsidRDefault="00E01CC6" w:rsidP="00E932E3">
      <w:pPr>
        <w:spacing w:after="0"/>
        <w:rPr>
          <w:rFonts w:ascii="Times New Roman" w:hAnsi="Times New Roman"/>
        </w:rPr>
      </w:pPr>
    </w:p>
    <w:p w:rsidR="00E01CC6" w:rsidRPr="00567DFA" w:rsidRDefault="00E01CC6" w:rsidP="00E932E3">
      <w:pPr>
        <w:spacing w:after="0"/>
        <w:rPr>
          <w:rFonts w:ascii="Times New Roman" w:hAnsi="Times New Roman"/>
          <w:b/>
        </w:rPr>
      </w:pPr>
      <w:r w:rsidRPr="00567DFA">
        <w:rPr>
          <w:rFonts w:ascii="Times New Roman" w:hAnsi="Times New Roman"/>
          <w:b/>
        </w:rPr>
        <w:t>Állami támogatás és közreműködés</w:t>
      </w:r>
    </w:p>
    <w:p w:rsidR="00E01CC6" w:rsidRPr="00567DFA" w:rsidRDefault="00E01CC6" w:rsidP="00E932E3">
      <w:pPr>
        <w:spacing w:after="0"/>
        <w:rPr>
          <w:rFonts w:ascii="Times New Roman" w:hAnsi="Times New Roman"/>
        </w:rPr>
      </w:pPr>
      <w:r w:rsidRPr="00567DFA">
        <w:rPr>
          <w:rFonts w:ascii="Times New Roman" w:hAnsi="Times New Roman"/>
        </w:rPr>
        <w:t>Az állami támogatás és közreműködés elhatárolása. A támogatás elszámolásának a feltételei. Eszközhöz kapcsolódó támogatások. Bevételhez (költségekhez) kapcsolódó támogatások. Múltbéli veszteségeket ellensúlyozó támogatások. Közzétételi kötelezettségek (közreműködés külön is).</w:t>
      </w:r>
    </w:p>
    <w:p w:rsidR="00E01CC6" w:rsidRPr="00567DFA" w:rsidRDefault="00E01CC6" w:rsidP="00E932E3">
      <w:pPr>
        <w:spacing w:after="0"/>
        <w:rPr>
          <w:rFonts w:ascii="Times New Roman" w:hAnsi="Times New Roman"/>
        </w:rPr>
      </w:pPr>
    </w:p>
    <w:p w:rsidR="00E01CC6" w:rsidRPr="00567DFA" w:rsidRDefault="00E01CC6" w:rsidP="00E932E3">
      <w:pPr>
        <w:spacing w:after="0"/>
        <w:rPr>
          <w:rFonts w:ascii="Times New Roman" w:hAnsi="Times New Roman"/>
          <w:b/>
        </w:rPr>
      </w:pPr>
      <w:r w:rsidRPr="00567DFA">
        <w:rPr>
          <w:rFonts w:ascii="Times New Roman" w:hAnsi="Times New Roman"/>
          <w:b/>
        </w:rPr>
        <w:t>Immateriális eszközök</w:t>
      </w:r>
    </w:p>
    <w:p w:rsidR="00E01CC6" w:rsidRPr="00567DFA" w:rsidRDefault="00E01CC6" w:rsidP="00E932E3">
      <w:pPr>
        <w:spacing w:after="0"/>
        <w:rPr>
          <w:rFonts w:ascii="Times New Roman" w:hAnsi="Times New Roman"/>
        </w:rPr>
      </w:pPr>
      <w:r w:rsidRPr="00567DFA">
        <w:rPr>
          <w:rFonts w:ascii="Times New Roman" w:hAnsi="Times New Roman"/>
        </w:rPr>
        <w:t>Fogalom, első és követő értékelés. Vásárolt és belső előállítású immateriális eszközök. A megjelenítés feltételei. A bekerülési költség elemei. Határozott vs. határozatlan élettartamú immateriális eszközök. Az amortizáció. A kutatás vs. fejlesztés. Közzétételi követelmények. Weboldallal kapcsolatos szabályok.</w:t>
      </w:r>
    </w:p>
    <w:p w:rsidR="00E01CC6" w:rsidRPr="00567DFA" w:rsidRDefault="00E01CC6" w:rsidP="00E932E3">
      <w:pPr>
        <w:spacing w:after="0"/>
        <w:rPr>
          <w:rFonts w:ascii="Times New Roman" w:hAnsi="Times New Roman"/>
        </w:rPr>
      </w:pPr>
    </w:p>
    <w:p w:rsidR="00E01CC6" w:rsidRPr="00567DFA" w:rsidRDefault="00E01CC6" w:rsidP="00E932E3">
      <w:pPr>
        <w:spacing w:after="0"/>
        <w:rPr>
          <w:rFonts w:ascii="Times New Roman" w:hAnsi="Times New Roman"/>
          <w:b/>
        </w:rPr>
      </w:pPr>
      <w:r w:rsidRPr="00567DFA">
        <w:rPr>
          <w:rFonts w:ascii="Times New Roman" w:hAnsi="Times New Roman"/>
          <w:b/>
        </w:rPr>
        <w:t>Számviteli politikák, ezek változása, becslésváltozások, hibák</w:t>
      </w:r>
    </w:p>
    <w:p w:rsidR="00E01CC6" w:rsidRPr="00567DFA" w:rsidRDefault="00E01CC6" w:rsidP="00E932E3">
      <w:pPr>
        <w:spacing w:after="0"/>
        <w:rPr>
          <w:rFonts w:ascii="Times New Roman" w:hAnsi="Times New Roman"/>
        </w:rPr>
      </w:pPr>
      <w:r w:rsidRPr="00567DFA">
        <w:rPr>
          <w:rFonts w:ascii="Times New Roman" w:hAnsi="Times New Roman"/>
        </w:rPr>
        <w:t xml:space="preserve">A számviteli politika tartalma, az ehhez kapcsolódó hierarchia. A </w:t>
      </w:r>
      <w:proofErr w:type="spellStart"/>
      <w:r w:rsidRPr="00567DFA">
        <w:rPr>
          <w:rFonts w:ascii="Times New Roman" w:hAnsi="Times New Roman"/>
        </w:rPr>
        <w:t>prospektív</w:t>
      </w:r>
      <w:proofErr w:type="spellEnd"/>
      <w:r w:rsidRPr="00567DFA">
        <w:rPr>
          <w:rFonts w:ascii="Times New Roman" w:hAnsi="Times New Roman"/>
        </w:rPr>
        <w:t xml:space="preserve"> és a </w:t>
      </w:r>
      <w:r w:rsidRPr="00915027">
        <w:rPr>
          <w:rFonts w:ascii="Times New Roman" w:hAnsi="Times New Roman"/>
        </w:rPr>
        <w:t xml:space="preserve">retrospektív alkalmazás. A kivihetetlenség. </w:t>
      </w:r>
      <w:r w:rsidR="00FC4B68" w:rsidRPr="00915027">
        <w:rPr>
          <w:rFonts w:ascii="Times New Roman" w:hAnsi="Times New Roman"/>
        </w:rPr>
        <w:t>Lényegesség</w:t>
      </w:r>
      <w:r w:rsidR="00915027">
        <w:rPr>
          <w:rFonts w:ascii="Times New Roman" w:hAnsi="Times New Roman"/>
        </w:rPr>
        <w:t>.</w:t>
      </w:r>
      <w:r w:rsidR="00FC4B68" w:rsidRPr="00915027">
        <w:rPr>
          <w:rFonts w:ascii="Times New Roman" w:hAnsi="Times New Roman"/>
        </w:rPr>
        <w:t xml:space="preserve"> </w:t>
      </w:r>
      <w:r w:rsidRPr="00915027">
        <w:rPr>
          <w:rFonts w:ascii="Times New Roman" w:hAnsi="Times New Roman"/>
        </w:rPr>
        <w:t xml:space="preserve"> A politikaváltozás megjelenítése. A becslésváltozás megjelenítése. A</w:t>
      </w:r>
      <w:r w:rsidRPr="00567DFA">
        <w:rPr>
          <w:rFonts w:ascii="Times New Roman" w:hAnsi="Times New Roman"/>
        </w:rPr>
        <w:t xml:space="preserve"> hibák javítása.</w:t>
      </w:r>
    </w:p>
    <w:p w:rsidR="00E01CC6" w:rsidRPr="00567DFA" w:rsidRDefault="00E01CC6" w:rsidP="00E932E3">
      <w:pPr>
        <w:spacing w:after="0"/>
        <w:rPr>
          <w:rFonts w:ascii="Times New Roman" w:hAnsi="Times New Roman"/>
        </w:rPr>
      </w:pPr>
    </w:p>
    <w:p w:rsidR="00E01CC6" w:rsidRPr="00567DFA" w:rsidRDefault="00E01CC6" w:rsidP="00E932E3">
      <w:pPr>
        <w:spacing w:after="0"/>
        <w:rPr>
          <w:rFonts w:ascii="Times New Roman" w:hAnsi="Times New Roman"/>
          <w:b/>
        </w:rPr>
      </w:pPr>
      <w:r w:rsidRPr="00567DFA">
        <w:rPr>
          <w:rFonts w:ascii="Times New Roman" w:hAnsi="Times New Roman"/>
          <w:b/>
        </w:rPr>
        <w:t>Mérlegfordulónap utáni események</w:t>
      </w:r>
    </w:p>
    <w:p w:rsidR="00E01CC6" w:rsidRPr="009A6777" w:rsidRDefault="00E01CC6" w:rsidP="00E932E3">
      <w:pPr>
        <w:spacing w:after="0"/>
        <w:rPr>
          <w:rFonts w:ascii="Times New Roman" w:hAnsi="Times New Roman"/>
          <w:spacing w:val="-4"/>
        </w:rPr>
      </w:pPr>
      <w:r w:rsidRPr="009A6777">
        <w:rPr>
          <w:rFonts w:ascii="Times New Roman" w:hAnsi="Times New Roman"/>
          <w:spacing w:val="-4"/>
        </w:rPr>
        <w:t xml:space="preserve">A pénzügyi kimutatások közzétételre való engedélyezése. A vállalkozás folytatásának az </w:t>
      </w:r>
      <w:r w:rsidRPr="009A6777">
        <w:rPr>
          <w:rFonts w:ascii="Times New Roman" w:hAnsi="Times New Roman"/>
          <w:spacing w:val="-6"/>
        </w:rPr>
        <w:t>elve és következményei. A módosító és a nem-módosító események. Közzétételi elvárások.</w:t>
      </w:r>
    </w:p>
    <w:p w:rsidR="00E01CC6" w:rsidRPr="00567DFA" w:rsidRDefault="00E01CC6" w:rsidP="00E932E3">
      <w:pPr>
        <w:spacing w:after="0"/>
        <w:rPr>
          <w:rFonts w:ascii="Times New Roman" w:hAnsi="Times New Roman"/>
        </w:rPr>
      </w:pPr>
    </w:p>
    <w:p w:rsidR="00E01CC6" w:rsidRPr="00567DFA" w:rsidRDefault="00E01CC6" w:rsidP="00E932E3">
      <w:pPr>
        <w:spacing w:after="0"/>
        <w:rPr>
          <w:rFonts w:ascii="Times New Roman" w:hAnsi="Times New Roman"/>
          <w:b/>
        </w:rPr>
      </w:pPr>
      <w:r w:rsidRPr="00567DFA">
        <w:rPr>
          <w:rFonts w:ascii="Times New Roman" w:hAnsi="Times New Roman"/>
          <w:b/>
        </w:rPr>
        <w:t>Céltartalékok, függő kötelezettségek és követelések</w:t>
      </w:r>
    </w:p>
    <w:p w:rsidR="00E01CC6" w:rsidRPr="009A6777" w:rsidRDefault="00E01CC6" w:rsidP="00E932E3">
      <w:pPr>
        <w:spacing w:after="0"/>
        <w:rPr>
          <w:rFonts w:ascii="Times New Roman" w:hAnsi="Times New Roman"/>
          <w:spacing w:val="-4"/>
        </w:rPr>
      </w:pPr>
      <w:r w:rsidRPr="00567DFA">
        <w:rPr>
          <w:rFonts w:ascii="Times New Roman" w:hAnsi="Times New Roman"/>
        </w:rPr>
        <w:t xml:space="preserve">Fogalmak. Első értékelés, követő értékelés és közzétételek. A céltartalék elkülönítése a függő kötelezettségtől. Jogi és vélelmezett kötelmek. Értékelés. Az időérték figyelembevétele. Jövőbeli működési veszteségek, hátrányos szerződések és </w:t>
      </w:r>
      <w:r w:rsidRPr="00915027">
        <w:rPr>
          <w:rFonts w:ascii="Times New Roman" w:hAnsi="Times New Roman"/>
        </w:rPr>
        <w:t xml:space="preserve">átszervezések kezelése. Közzétételek. </w:t>
      </w:r>
      <w:r w:rsidR="007D212F" w:rsidRPr="00915027">
        <w:rPr>
          <w:rFonts w:ascii="Times New Roman" w:hAnsi="Times New Roman"/>
        </w:rPr>
        <w:t>Az eszköz leszerelési kötelem</w:t>
      </w:r>
      <w:r w:rsidR="00FC4B68" w:rsidRPr="00915027">
        <w:rPr>
          <w:rFonts w:ascii="Times New Roman" w:hAnsi="Times New Roman"/>
        </w:rPr>
        <w:t xml:space="preserve"> (ARO)</w:t>
      </w:r>
      <w:r w:rsidR="007D212F" w:rsidRPr="00915027">
        <w:rPr>
          <w:rFonts w:ascii="Times New Roman" w:hAnsi="Times New Roman"/>
        </w:rPr>
        <w:t xml:space="preserve"> </w:t>
      </w:r>
      <w:r w:rsidR="007D212F" w:rsidRPr="009A6777">
        <w:rPr>
          <w:rFonts w:ascii="Times New Roman" w:hAnsi="Times New Roman"/>
          <w:spacing w:val="-4"/>
        </w:rPr>
        <w:t>ráfordítása és annak változása.</w:t>
      </w:r>
      <w:r w:rsidRPr="009A6777">
        <w:rPr>
          <w:rFonts w:ascii="Times New Roman" w:hAnsi="Times New Roman"/>
          <w:spacing w:val="-4"/>
        </w:rPr>
        <w:t xml:space="preserve"> A függő követelések és függő kötelezettségek közzététele. </w:t>
      </w:r>
    </w:p>
    <w:p w:rsidR="00E01CC6" w:rsidRPr="00567DFA" w:rsidRDefault="00E01CC6" w:rsidP="00E932E3">
      <w:pPr>
        <w:spacing w:after="0"/>
        <w:rPr>
          <w:rFonts w:ascii="Times New Roman" w:hAnsi="Times New Roman"/>
        </w:rPr>
      </w:pPr>
    </w:p>
    <w:p w:rsidR="00E01CC6" w:rsidRPr="00567DFA" w:rsidRDefault="00E01CC6" w:rsidP="00E932E3">
      <w:pPr>
        <w:spacing w:after="0"/>
        <w:rPr>
          <w:rFonts w:ascii="Times New Roman" w:hAnsi="Times New Roman"/>
          <w:b/>
        </w:rPr>
      </w:pPr>
      <w:r w:rsidRPr="00567DFA">
        <w:rPr>
          <w:rFonts w:ascii="Times New Roman" w:hAnsi="Times New Roman"/>
          <w:b/>
        </w:rPr>
        <w:t>Lízingek</w:t>
      </w:r>
      <w:r w:rsidR="00FC4B68">
        <w:rPr>
          <w:rFonts w:ascii="Times New Roman" w:hAnsi="Times New Roman"/>
          <w:b/>
        </w:rPr>
        <w:t xml:space="preserve"> (az IAS 17 szabályai szerint)</w:t>
      </w:r>
    </w:p>
    <w:p w:rsidR="00FC4B68" w:rsidRDefault="00E01CC6" w:rsidP="00E932E3">
      <w:pPr>
        <w:spacing w:after="0"/>
        <w:rPr>
          <w:rFonts w:ascii="Times New Roman" w:hAnsi="Times New Roman"/>
        </w:rPr>
      </w:pPr>
      <w:r w:rsidRPr="00567DFA">
        <w:rPr>
          <w:rFonts w:ascii="Times New Roman" w:hAnsi="Times New Roman"/>
        </w:rPr>
        <w:t>A lízingek fogalma. A lízingek fajai. Az operatív lízing elszámolása. Ösztönzők. A pénzügyi lízing. A pénzügyi lízing megjelenítése első és követő értékelése (mindkét fél). Közzétételek. A visszlízing megállapodások. A lízinget tartozó szerződések.</w:t>
      </w:r>
      <w:r w:rsidR="00FC4B68">
        <w:rPr>
          <w:rFonts w:ascii="Times New Roman" w:hAnsi="Times New Roman"/>
        </w:rPr>
        <w:t xml:space="preserve"> </w:t>
      </w:r>
    </w:p>
    <w:p w:rsidR="00FC4B68" w:rsidRDefault="00FC4B68" w:rsidP="00E932E3">
      <w:pPr>
        <w:spacing w:after="0"/>
        <w:rPr>
          <w:rFonts w:ascii="Times New Roman" w:hAnsi="Times New Roman"/>
        </w:rPr>
      </w:pPr>
    </w:p>
    <w:p w:rsidR="00E01CC6" w:rsidRPr="00567DFA" w:rsidRDefault="00FC4B68" w:rsidP="00E932E3">
      <w:pPr>
        <w:spacing w:after="0"/>
        <w:rPr>
          <w:rFonts w:ascii="Times New Roman" w:hAnsi="Times New Roman"/>
        </w:rPr>
      </w:pPr>
      <w:r>
        <w:rPr>
          <w:rFonts w:ascii="Times New Roman" w:hAnsi="Times New Roman"/>
        </w:rPr>
        <w:t>Az IFRS 16 standard szabályozásának vázlatos ismertetése</w:t>
      </w:r>
      <w:r w:rsidR="00CC4BD6">
        <w:rPr>
          <w:rFonts w:ascii="Times New Roman" w:hAnsi="Times New Roman"/>
        </w:rPr>
        <w:t xml:space="preserve"> (elsősorban a lízingek besorolásának változása és a lízingbevevő számviteli gyakorlatának nagyvonalú bemutatása).</w:t>
      </w:r>
      <w:r w:rsidR="00915027">
        <w:rPr>
          <w:rStyle w:val="Lbjegyzet-hivatkozs"/>
          <w:rFonts w:ascii="Times New Roman" w:hAnsi="Times New Roman"/>
        </w:rPr>
        <w:footnoteReference w:id="2"/>
      </w:r>
    </w:p>
    <w:p w:rsidR="00E01CC6" w:rsidRPr="00567DFA" w:rsidRDefault="00E01CC6" w:rsidP="00E932E3">
      <w:pPr>
        <w:spacing w:after="0"/>
        <w:rPr>
          <w:rFonts w:ascii="Times New Roman" w:hAnsi="Times New Roman"/>
          <w:b/>
        </w:rPr>
      </w:pPr>
    </w:p>
    <w:p w:rsidR="00E01CC6" w:rsidRPr="00567DFA" w:rsidRDefault="00E01CC6" w:rsidP="00E932E3">
      <w:pPr>
        <w:spacing w:after="0"/>
        <w:rPr>
          <w:rFonts w:ascii="Times New Roman" w:hAnsi="Times New Roman"/>
          <w:b/>
        </w:rPr>
      </w:pPr>
      <w:r w:rsidRPr="00567DFA">
        <w:rPr>
          <w:rFonts w:ascii="Times New Roman" w:hAnsi="Times New Roman"/>
          <w:b/>
        </w:rPr>
        <w:t>Értékvesztések</w:t>
      </w:r>
    </w:p>
    <w:p w:rsidR="00E01CC6" w:rsidRPr="00567DFA" w:rsidRDefault="00E01CC6" w:rsidP="00E932E3">
      <w:pPr>
        <w:spacing w:after="0"/>
        <w:rPr>
          <w:rFonts w:ascii="Times New Roman" w:hAnsi="Times New Roman"/>
        </w:rPr>
      </w:pPr>
      <w:r w:rsidRPr="00567DFA">
        <w:rPr>
          <w:rFonts w:ascii="Times New Roman" w:hAnsi="Times New Roman"/>
        </w:rPr>
        <w:t xml:space="preserve">Hatókör. Használati érték. Valós érték csökkentve az értékesítés költségeivel. Megtérülő érték. Egyedi értékvesztés. CGU koncepció. CGU meghatározása. A </w:t>
      </w:r>
      <w:proofErr w:type="spellStart"/>
      <w:r w:rsidRPr="00567DFA">
        <w:rPr>
          <w:rFonts w:ascii="Times New Roman" w:hAnsi="Times New Roman"/>
        </w:rPr>
        <w:t>CGU-</w:t>
      </w:r>
      <w:r w:rsidRPr="00567DFA">
        <w:rPr>
          <w:rFonts w:ascii="Times New Roman" w:hAnsi="Times New Roman"/>
        </w:rPr>
        <w:lastRenderedPageBreak/>
        <w:t>ra</w:t>
      </w:r>
      <w:proofErr w:type="spellEnd"/>
      <w:r w:rsidRPr="00567DFA">
        <w:rPr>
          <w:rFonts w:ascii="Times New Roman" w:hAnsi="Times New Roman"/>
        </w:rPr>
        <w:t xml:space="preserve"> számolt értékvesztés. Az értékvesztés felosztása. Az értékvesztés visszaírásának a szabályai. </w:t>
      </w:r>
    </w:p>
    <w:p w:rsidR="00E01CC6" w:rsidRPr="00567DFA" w:rsidRDefault="00E01CC6" w:rsidP="00E932E3">
      <w:pPr>
        <w:spacing w:after="0"/>
        <w:rPr>
          <w:rFonts w:ascii="Times New Roman" w:hAnsi="Times New Roman"/>
          <w:b/>
        </w:rPr>
      </w:pPr>
      <w:r w:rsidRPr="00567DFA">
        <w:rPr>
          <w:rFonts w:ascii="Times New Roman" w:hAnsi="Times New Roman"/>
          <w:b/>
        </w:rPr>
        <w:t>Átváltási árfolyamok változásának hatásai</w:t>
      </w:r>
    </w:p>
    <w:p w:rsidR="00E01CC6" w:rsidRPr="00567DFA" w:rsidRDefault="00E01CC6" w:rsidP="00E932E3">
      <w:pPr>
        <w:spacing w:after="0"/>
        <w:rPr>
          <w:rFonts w:ascii="Times New Roman" w:hAnsi="Times New Roman"/>
        </w:rPr>
      </w:pPr>
      <w:r w:rsidRPr="00567DFA">
        <w:rPr>
          <w:rFonts w:ascii="Times New Roman" w:hAnsi="Times New Roman"/>
        </w:rPr>
        <w:t>Monetáris és nem monetáris elemek. Funkcionális pénznem és megállapítása. Idegen pénznem, prezentációs pénznem. Az idegen pénznemben elszámolt tranzakciók átváltása. Pénzügyi kimutatások prezentációs pénzneme. Áttérések a prezentációs pénznemre. Különféle módszerek. Közzétételi kötelezettségek. Hiperinfláció fogalma és kezelése (vázlatosan).</w:t>
      </w:r>
    </w:p>
    <w:p w:rsidR="00E01CC6" w:rsidRPr="00567DFA" w:rsidRDefault="00E01CC6" w:rsidP="00E932E3">
      <w:pPr>
        <w:spacing w:after="0"/>
        <w:rPr>
          <w:rFonts w:ascii="Times New Roman" w:hAnsi="Times New Roman"/>
        </w:rPr>
      </w:pPr>
    </w:p>
    <w:p w:rsidR="00E01CC6" w:rsidRPr="00567DFA" w:rsidRDefault="00E01CC6" w:rsidP="00E932E3">
      <w:pPr>
        <w:spacing w:after="0"/>
        <w:rPr>
          <w:rFonts w:ascii="Times New Roman" w:hAnsi="Times New Roman"/>
          <w:b/>
        </w:rPr>
      </w:pPr>
      <w:r w:rsidRPr="00567DFA">
        <w:rPr>
          <w:rFonts w:ascii="Times New Roman" w:hAnsi="Times New Roman"/>
          <w:b/>
        </w:rPr>
        <w:t>Munkavállalói juttatások</w:t>
      </w:r>
    </w:p>
    <w:p w:rsidR="00E01CC6" w:rsidRPr="00567DFA" w:rsidRDefault="00E01CC6" w:rsidP="00E932E3">
      <w:pPr>
        <w:spacing w:after="0"/>
        <w:rPr>
          <w:rFonts w:ascii="Times New Roman" w:hAnsi="Times New Roman"/>
        </w:rPr>
      </w:pPr>
      <w:r w:rsidRPr="00567DFA">
        <w:rPr>
          <w:rFonts w:ascii="Times New Roman" w:hAnsi="Times New Roman"/>
        </w:rPr>
        <w:t xml:space="preserve">Munkavállaló juttatások csoportosítása. Rövid távú juttatások. A fizetett távollétek kezelése. Halmozódó vs. nem halmozódó témák. Megszolgált vs. nem megszolgált témák. Hosszú távú munkavállaló juttatások. Jubileumi jutalom. </w:t>
      </w:r>
      <w:proofErr w:type="spellStart"/>
      <w:r w:rsidRPr="00567DFA">
        <w:rPr>
          <w:rFonts w:ascii="Times New Roman" w:hAnsi="Times New Roman"/>
        </w:rPr>
        <w:t>Aktuáriusi</w:t>
      </w:r>
      <w:proofErr w:type="spellEnd"/>
      <w:r w:rsidRPr="00567DFA">
        <w:rPr>
          <w:rFonts w:ascii="Times New Roman" w:hAnsi="Times New Roman"/>
        </w:rPr>
        <w:t xml:space="preserve"> becslések. Munkaviszony megszűnésére tekintettel adott juttatások. Megjelenítés és értékelés. Önkéntes felmondások. Munkaviszony megszűnése utáni juttatások (vázlatosan).</w:t>
      </w:r>
    </w:p>
    <w:p w:rsidR="00E01CC6" w:rsidRPr="00567DFA" w:rsidRDefault="00E01CC6" w:rsidP="00E932E3">
      <w:pPr>
        <w:spacing w:after="0"/>
        <w:rPr>
          <w:rFonts w:ascii="Times New Roman" w:hAnsi="Times New Roman"/>
        </w:rPr>
      </w:pPr>
    </w:p>
    <w:p w:rsidR="00E01CC6" w:rsidRPr="00567DFA" w:rsidRDefault="00E01CC6" w:rsidP="00E932E3">
      <w:pPr>
        <w:spacing w:after="0"/>
        <w:rPr>
          <w:rFonts w:ascii="Times New Roman" w:hAnsi="Times New Roman"/>
          <w:b/>
        </w:rPr>
      </w:pPr>
      <w:r w:rsidRPr="00567DFA">
        <w:rPr>
          <w:rFonts w:ascii="Times New Roman" w:hAnsi="Times New Roman"/>
          <w:b/>
        </w:rPr>
        <w:t>Nyereségadók</w:t>
      </w:r>
    </w:p>
    <w:p w:rsidR="00E01CC6" w:rsidRPr="00567DFA" w:rsidRDefault="00E01CC6" w:rsidP="00E932E3">
      <w:pPr>
        <w:spacing w:after="0"/>
        <w:rPr>
          <w:rFonts w:ascii="Times New Roman" w:hAnsi="Times New Roman"/>
          <w:b/>
        </w:rPr>
      </w:pPr>
      <w:r w:rsidRPr="00567DFA">
        <w:rPr>
          <w:rFonts w:ascii="Times New Roman" w:hAnsi="Times New Roman"/>
        </w:rPr>
        <w:t xml:space="preserve">Tényleges adó. Az adóköteles és a levonható különbözetek azonosítása. Az eszközök és kötelezettségek adóértéke. A halasztott adó elszámolása a „mérleg szerinti kötelezettség”. Az eredménnyel és a tőkével szemben elszámolt halasztott adó. Adókulcs változása. Közzétételi követelmények. </w:t>
      </w:r>
    </w:p>
    <w:p w:rsidR="00E01CC6" w:rsidRPr="00567DFA" w:rsidRDefault="00E01CC6" w:rsidP="00E932E3">
      <w:pPr>
        <w:spacing w:after="0"/>
        <w:rPr>
          <w:rFonts w:ascii="Times New Roman" w:hAnsi="Times New Roman"/>
          <w:b/>
        </w:rPr>
      </w:pPr>
    </w:p>
    <w:p w:rsidR="00E01CC6" w:rsidRPr="00567DFA" w:rsidRDefault="00E01CC6" w:rsidP="00E932E3">
      <w:pPr>
        <w:spacing w:after="0"/>
        <w:rPr>
          <w:rFonts w:ascii="Times New Roman" w:hAnsi="Times New Roman"/>
          <w:b/>
        </w:rPr>
      </w:pPr>
      <w:r w:rsidRPr="00567DFA">
        <w:rPr>
          <w:rFonts w:ascii="Times New Roman" w:hAnsi="Times New Roman"/>
          <w:b/>
        </w:rPr>
        <w:t xml:space="preserve">Bevétel elszámolás </w:t>
      </w:r>
    </w:p>
    <w:p w:rsidR="00E01CC6" w:rsidRDefault="00E01CC6" w:rsidP="00E932E3">
      <w:pPr>
        <w:spacing w:after="0"/>
        <w:rPr>
          <w:rFonts w:ascii="Times New Roman" w:hAnsi="Times New Roman"/>
        </w:rPr>
      </w:pPr>
      <w:r w:rsidRPr="00567DFA">
        <w:rPr>
          <w:rFonts w:ascii="Times New Roman" w:hAnsi="Times New Roman"/>
        </w:rPr>
        <w:t xml:space="preserve">A bevétel fogalma. A bevétel egyes fajtái. A termékértékesítéssel kapcsolatos ismeretek. A „kockázatáttétel”. A szolgáltatásnyújtás. A készültségi fok.  </w:t>
      </w:r>
      <w:proofErr w:type="spellStart"/>
      <w:r w:rsidRPr="00567DFA">
        <w:rPr>
          <w:rFonts w:ascii="Times New Roman" w:hAnsi="Times New Roman"/>
        </w:rPr>
        <w:t>Royalty</w:t>
      </w:r>
      <w:proofErr w:type="spellEnd"/>
      <w:r w:rsidRPr="00567DFA">
        <w:rPr>
          <w:rFonts w:ascii="Times New Roman" w:hAnsi="Times New Roman"/>
        </w:rPr>
        <w:t xml:space="preserve"> elszámolás. Osztalékbevétel. Kamatbevétel. Összetett termékek. A bevétel-elszámolás új modellje. Külön nevesített speciális esetek: barter, ingatlan, hűségprogramok.</w:t>
      </w:r>
    </w:p>
    <w:p w:rsidR="00B00266" w:rsidRDefault="00B00266" w:rsidP="00E932E3">
      <w:pPr>
        <w:spacing w:after="0"/>
        <w:rPr>
          <w:rFonts w:ascii="Times New Roman" w:hAnsi="Times New Roman"/>
        </w:rPr>
      </w:pPr>
    </w:p>
    <w:p w:rsidR="00B00266" w:rsidRPr="00567DFA" w:rsidRDefault="00B00266" w:rsidP="00B00266">
      <w:pPr>
        <w:spacing w:after="0"/>
        <w:rPr>
          <w:rFonts w:ascii="Times New Roman" w:hAnsi="Times New Roman"/>
        </w:rPr>
      </w:pPr>
      <w:r>
        <w:rPr>
          <w:rFonts w:ascii="Times New Roman" w:hAnsi="Times New Roman"/>
        </w:rPr>
        <w:t xml:space="preserve">Az IFRS 15 standard szabályozásának vázlatos ismertetése (elsősorban: öt </w:t>
      </w:r>
      <w:r w:rsidR="00655882">
        <w:rPr>
          <w:rFonts w:ascii="Times New Roman" w:hAnsi="Times New Roman"/>
        </w:rPr>
        <w:t>lépés</w:t>
      </w:r>
      <w:r>
        <w:rPr>
          <w:rFonts w:ascii="Times New Roman" w:hAnsi="Times New Roman"/>
        </w:rPr>
        <w:t xml:space="preserve"> modell</w:t>
      </w:r>
      <w:r w:rsidR="00655882">
        <w:rPr>
          <w:rFonts w:ascii="Times New Roman" w:hAnsi="Times New Roman"/>
        </w:rPr>
        <w:t xml:space="preserve"> tartalma és főbb szabályai, a bevétel mérése és a bevétel elszámolásának időzítése, illetve egy-két példa ismertetése</w:t>
      </w:r>
      <w:r>
        <w:rPr>
          <w:rFonts w:ascii="Times New Roman" w:hAnsi="Times New Roman"/>
        </w:rPr>
        <w:t>).</w:t>
      </w:r>
      <w:r w:rsidR="00915027">
        <w:rPr>
          <w:rStyle w:val="Lbjegyzet-hivatkozs"/>
          <w:rFonts w:ascii="Times New Roman" w:hAnsi="Times New Roman"/>
        </w:rPr>
        <w:footnoteReference w:id="3"/>
      </w:r>
    </w:p>
    <w:p w:rsidR="007D212F" w:rsidRDefault="007D212F" w:rsidP="00E932E3">
      <w:pPr>
        <w:spacing w:after="0"/>
        <w:rPr>
          <w:rFonts w:ascii="Times New Roman" w:hAnsi="Times New Roman"/>
          <w:b/>
        </w:rPr>
      </w:pPr>
    </w:p>
    <w:p w:rsidR="00E01CC6" w:rsidRPr="00567DFA" w:rsidRDefault="00E01CC6" w:rsidP="00E932E3">
      <w:pPr>
        <w:spacing w:after="0"/>
        <w:rPr>
          <w:rFonts w:ascii="Times New Roman" w:hAnsi="Times New Roman"/>
          <w:b/>
        </w:rPr>
      </w:pPr>
      <w:r w:rsidRPr="00567DFA">
        <w:rPr>
          <w:rFonts w:ascii="Times New Roman" w:hAnsi="Times New Roman"/>
          <w:b/>
        </w:rPr>
        <w:t>Beruházási szerződések</w:t>
      </w:r>
    </w:p>
    <w:p w:rsidR="00E01CC6" w:rsidRPr="00567DFA" w:rsidRDefault="00E01CC6" w:rsidP="00E932E3">
      <w:pPr>
        <w:spacing w:after="0"/>
        <w:rPr>
          <w:rFonts w:ascii="Times New Roman" w:hAnsi="Times New Roman"/>
        </w:rPr>
      </w:pPr>
      <w:r w:rsidRPr="00567DFA">
        <w:rPr>
          <w:rFonts w:ascii="Times New Roman" w:hAnsi="Times New Roman"/>
        </w:rPr>
        <w:t xml:space="preserve">Beruházási szerződés fogalma. A készültségi fok. A bevétel elszámolása. A veszteséges szerződés. A nem biztos kimenetelű szerződés. Megrendelőtől járó/megrendelőnek járó összeg. Közzétételi követelmények és besorolási kérdések. </w:t>
      </w:r>
    </w:p>
    <w:p w:rsidR="00E01CC6" w:rsidRPr="00567DFA" w:rsidRDefault="00E01CC6" w:rsidP="00E932E3">
      <w:pPr>
        <w:spacing w:after="0"/>
        <w:rPr>
          <w:rFonts w:ascii="Times New Roman" w:hAnsi="Times New Roman"/>
          <w:b/>
        </w:rPr>
      </w:pPr>
    </w:p>
    <w:p w:rsidR="00E01CC6" w:rsidRPr="00567DFA" w:rsidRDefault="00E01CC6" w:rsidP="00E932E3">
      <w:pPr>
        <w:spacing w:after="0"/>
        <w:rPr>
          <w:rFonts w:ascii="Times New Roman" w:hAnsi="Times New Roman"/>
          <w:b/>
        </w:rPr>
      </w:pPr>
      <w:r w:rsidRPr="00567DFA">
        <w:rPr>
          <w:rFonts w:ascii="Times New Roman" w:hAnsi="Times New Roman"/>
          <w:b/>
        </w:rPr>
        <w:t>Pénzügyi instrumentumok</w:t>
      </w:r>
    </w:p>
    <w:p w:rsidR="00E01CC6" w:rsidRDefault="00E01CC6" w:rsidP="00E932E3">
      <w:pPr>
        <w:spacing w:after="0"/>
        <w:rPr>
          <w:rFonts w:ascii="Times New Roman" w:hAnsi="Times New Roman"/>
        </w:rPr>
      </w:pPr>
      <w:r w:rsidRPr="00567DFA">
        <w:rPr>
          <w:rFonts w:ascii="Times New Roman" w:hAnsi="Times New Roman"/>
        </w:rPr>
        <w:t xml:space="preserve">Pénzügyi instrumentumok fogalma. Pénzügyi eszközök, kötelezettségek. A tőkeinstrumentumok. A </w:t>
      </w:r>
      <w:proofErr w:type="spellStart"/>
      <w:r w:rsidRPr="00567DFA">
        <w:rPr>
          <w:rFonts w:ascii="Times New Roman" w:hAnsi="Times New Roman"/>
        </w:rPr>
        <w:t>hibirid</w:t>
      </w:r>
      <w:proofErr w:type="spellEnd"/>
      <w:r w:rsidRPr="00567DFA">
        <w:rPr>
          <w:rFonts w:ascii="Times New Roman" w:hAnsi="Times New Roman"/>
        </w:rPr>
        <w:t xml:space="preserve"> pénzügyi instrumentumok. Besorolás, kezdeti értékelés, követő értékelés. Klasszikus instrumentumok (különösen hitelek). Tranzakciós költségek. Elszámolás napjára vonatkozó szabályok. Értékvesztések. Nettósítás. Derivatívák. Beágyazott derivatívák. Fedezeti számvitel. Közzétételi kötelezettségek. Várható változások. A valós érték mérése és az arra vonatkozó szabályok.</w:t>
      </w:r>
    </w:p>
    <w:p w:rsidR="00655882" w:rsidRDefault="00655882" w:rsidP="00E932E3">
      <w:pPr>
        <w:spacing w:after="0"/>
        <w:rPr>
          <w:rFonts w:ascii="Times New Roman" w:hAnsi="Times New Roman"/>
        </w:rPr>
      </w:pPr>
    </w:p>
    <w:p w:rsidR="00655882" w:rsidRPr="00567DFA" w:rsidRDefault="00655882" w:rsidP="00655882">
      <w:pPr>
        <w:spacing w:after="0"/>
        <w:rPr>
          <w:rFonts w:ascii="Times New Roman" w:hAnsi="Times New Roman"/>
        </w:rPr>
      </w:pPr>
      <w:r>
        <w:rPr>
          <w:rFonts w:ascii="Times New Roman" w:hAnsi="Times New Roman"/>
        </w:rPr>
        <w:t xml:space="preserve">Az IFRS 9 standard szabályozásának vázlatos ismertetése (elsősorban: besorolási változások, ECL modell és a </w:t>
      </w:r>
      <w:proofErr w:type="spellStart"/>
      <w:r>
        <w:rPr>
          <w:rFonts w:ascii="Times New Roman" w:hAnsi="Times New Roman"/>
        </w:rPr>
        <w:t>hedge</w:t>
      </w:r>
      <w:proofErr w:type="spellEnd"/>
      <w:r>
        <w:rPr>
          <w:rFonts w:ascii="Times New Roman" w:hAnsi="Times New Roman"/>
        </w:rPr>
        <w:t xml:space="preserve"> </w:t>
      </w:r>
      <w:proofErr w:type="spellStart"/>
      <w:r>
        <w:rPr>
          <w:rFonts w:ascii="Times New Roman" w:hAnsi="Times New Roman"/>
        </w:rPr>
        <w:t>accouting</w:t>
      </w:r>
      <w:proofErr w:type="spellEnd"/>
      <w:r>
        <w:rPr>
          <w:rFonts w:ascii="Times New Roman" w:hAnsi="Times New Roman"/>
        </w:rPr>
        <w:t xml:space="preserve"> változásának nagyléptékű ismertetése).</w:t>
      </w:r>
      <w:r w:rsidR="00915027">
        <w:rPr>
          <w:rStyle w:val="Lbjegyzet-hivatkozs"/>
          <w:rFonts w:ascii="Times New Roman" w:hAnsi="Times New Roman"/>
        </w:rPr>
        <w:footnoteReference w:id="4"/>
      </w:r>
    </w:p>
    <w:p w:rsidR="00E01CC6" w:rsidRPr="00567DFA" w:rsidRDefault="00E01CC6" w:rsidP="00E932E3">
      <w:pPr>
        <w:spacing w:after="0"/>
        <w:rPr>
          <w:rFonts w:ascii="Times New Roman" w:hAnsi="Times New Roman"/>
          <w:b/>
        </w:rPr>
      </w:pPr>
      <w:r w:rsidRPr="00567DFA">
        <w:rPr>
          <w:rFonts w:ascii="Times New Roman" w:hAnsi="Times New Roman"/>
          <w:b/>
        </w:rPr>
        <w:t>Részvény alapú kifizetések</w:t>
      </w:r>
    </w:p>
    <w:p w:rsidR="00E01CC6" w:rsidRPr="00567DFA" w:rsidRDefault="00E01CC6" w:rsidP="00E932E3">
      <w:pPr>
        <w:spacing w:after="0"/>
        <w:rPr>
          <w:rFonts w:ascii="Times New Roman" w:hAnsi="Times New Roman"/>
        </w:rPr>
      </w:pPr>
      <w:r w:rsidRPr="00567DFA">
        <w:rPr>
          <w:rFonts w:ascii="Times New Roman" w:hAnsi="Times New Roman"/>
        </w:rPr>
        <w:t xml:space="preserve">Fogalom. Részvényben rendezett vs. pénzben rendezett vs. választásos szolgáltatás. Kezdeti értékelés és követő értékelés. A különbözetek és változások elszámolása. Közzétételi szabályok. </w:t>
      </w:r>
    </w:p>
    <w:p w:rsidR="00E01CC6" w:rsidRPr="00567DFA" w:rsidRDefault="00E01CC6" w:rsidP="00E932E3">
      <w:pPr>
        <w:spacing w:after="0"/>
        <w:rPr>
          <w:rFonts w:ascii="Times New Roman" w:hAnsi="Times New Roman"/>
          <w:b/>
        </w:rPr>
      </w:pPr>
    </w:p>
    <w:p w:rsidR="00E01CC6" w:rsidRPr="00567DFA" w:rsidRDefault="00E01CC6" w:rsidP="00E932E3">
      <w:pPr>
        <w:spacing w:after="0"/>
        <w:rPr>
          <w:rFonts w:ascii="Times New Roman" w:hAnsi="Times New Roman"/>
          <w:b/>
        </w:rPr>
      </w:pPr>
      <w:r w:rsidRPr="00567DFA">
        <w:rPr>
          <w:rFonts w:ascii="Times New Roman" w:hAnsi="Times New Roman"/>
          <w:b/>
        </w:rPr>
        <w:t>Csoportszámvitel</w:t>
      </w:r>
    </w:p>
    <w:p w:rsidR="00E01CC6" w:rsidRPr="00567DFA" w:rsidRDefault="00E01CC6" w:rsidP="00E932E3">
      <w:pPr>
        <w:spacing w:after="0"/>
        <w:rPr>
          <w:rFonts w:ascii="Times New Roman" w:hAnsi="Times New Roman"/>
        </w:rPr>
      </w:pPr>
      <w:r w:rsidRPr="00567DFA">
        <w:rPr>
          <w:rFonts w:ascii="Times New Roman" w:hAnsi="Times New Roman"/>
        </w:rPr>
        <w:t xml:space="preserve">A gazdálkodó egység értelmezése. A gazdálkodóban lévő részesedések csoportosítása a kontrol szempontjából. A kontrol mérése, a kontrol meghatározása. Opció természetű témák a kontrol meghatározása során. A közös irányítás fogalma. A mértékadó befolyás fogalma. </w:t>
      </w:r>
    </w:p>
    <w:p w:rsidR="00E01CC6" w:rsidRPr="009A6777" w:rsidRDefault="00E01CC6" w:rsidP="00E932E3">
      <w:pPr>
        <w:spacing w:after="0"/>
        <w:rPr>
          <w:rFonts w:ascii="Times New Roman" w:hAnsi="Times New Roman"/>
          <w:sz w:val="16"/>
          <w:szCs w:val="16"/>
        </w:rPr>
      </w:pPr>
    </w:p>
    <w:p w:rsidR="00E01CC6" w:rsidRPr="00567DFA" w:rsidRDefault="00E01CC6" w:rsidP="00E932E3">
      <w:pPr>
        <w:spacing w:after="0"/>
        <w:rPr>
          <w:rFonts w:ascii="Times New Roman" w:hAnsi="Times New Roman"/>
        </w:rPr>
      </w:pPr>
      <w:r w:rsidRPr="00567DFA">
        <w:rPr>
          <w:rFonts w:ascii="Times New Roman" w:hAnsi="Times New Roman"/>
        </w:rPr>
        <w:t xml:space="preserve">Akvizíciós számvitel. Egyszerű csoportok. A csoport felépítése. </w:t>
      </w:r>
      <w:proofErr w:type="spellStart"/>
      <w:r w:rsidRPr="00567DFA">
        <w:rPr>
          <w:rFonts w:ascii="Times New Roman" w:hAnsi="Times New Roman"/>
        </w:rPr>
        <w:t>Fresh-start</w:t>
      </w:r>
      <w:proofErr w:type="spellEnd"/>
      <w:r w:rsidRPr="00567DFA">
        <w:rPr>
          <w:rFonts w:ascii="Times New Roman" w:hAnsi="Times New Roman"/>
        </w:rPr>
        <w:t xml:space="preserve"> accounting értelme. </w:t>
      </w:r>
      <w:r w:rsidRPr="00915027">
        <w:rPr>
          <w:rFonts w:ascii="Times New Roman" w:hAnsi="Times New Roman"/>
        </w:rPr>
        <w:t xml:space="preserve">A </w:t>
      </w:r>
      <w:r w:rsidR="007D212F" w:rsidRPr="00915027">
        <w:rPr>
          <w:rFonts w:ascii="Times New Roman" w:hAnsi="Times New Roman"/>
        </w:rPr>
        <w:t>fizetett ellenérték</w:t>
      </w:r>
      <w:r w:rsidR="007D212F">
        <w:rPr>
          <w:rFonts w:ascii="Times New Roman" w:hAnsi="Times New Roman"/>
        </w:rPr>
        <w:t xml:space="preserve"> </w:t>
      </w:r>
      <w:r w:rsidRPr="00567DFA">
        <w:rPr>
          <w:rFonts w:ascii="Times New Roman" w:hAnsi="Times New Roman"/>
        </w:rPr>
        <w:t>tartalma. Tranzakciós költségek. Függő vételár. A goodwill, a negatív goodwill. Értelmezése, megjelenítése, értékelése. A nem-kontrolláló érdekeltség tatalma és megjelenítése. A csoporton belüli ügyletek megragadása és kezelése. Az eredmény kiszűrésének technikái (mérlegtételekben felhalmozódó különbözetek is). Az átfogó eredménykimutatás konszolidálása (kiszűrések, megosztás az anya és az NCI között). Az NCI megjelenítésének lehetőségei (eszközök arányában vs. valós értéken) és magyarázata.</w:t>
      </w:r>
    </w:p>
    <w:p w:rsidR="00673635" w:rsidRPr="00567DFA" w:rsidRDefault="00E01CC6" w:rsidP="00E932E3">
      <w:pPr>
        <w:spacing w:after="0"/>
        <w:rPr>
          <w:rFonts w:ascii="Times New Roman" w:hAnsi="Times New Roman"/>
        </w:rPr>
      </w:pPr>
      <w:r w:rsidRPr="00567DFA">
        <w:rPr>
          <w:rFonts w:ascii="Times New Roman" w:hAnsi="Times New Roman"/>
        </w:rPr>
        <w:t>Közzétételi követelmények. Az üzleti kombinációnak nem minősülő esetek kezelése. Az „</w:t>
      </w:r>
      <w:proofErr w:type="spellStart"/>
      <w:r w:rsidRPr="00567DFA">
        <w:rPr>
          <w:rFonts w:ascii="Times New Roman" w:hAnsi="Times New Roman"/>
        </w:rPr>
        <w:t>asset</w:t>
      </w:r>
      <w:proofErr w:type="spellEnd"/>
      <w:r w:rsidRPr="00567DFA">
        <w:rPr>
          <w:rFonts w:ascii="Times New Roman" w:hAnsi="Times New Roman"/>
        </w:rPr>
        <w:t xml:space="preserve"> </w:t>
      </w:r>
      <w:proofErr w:type="spellStart"/>
      <w:r w:rsidRPr="00567DFA">
        <w:rPr>
          <w:rFonts w:ascii="Times New Roman" w:hAnsi="Times New Roman"/>
        </w:rPr>
        <w:t>deal</w:t>
      </w:r>
      <w:proofErr w:type="spellEnd"/>
      <w:r w:rsidRPr="00567DFA">
        <w:rPr>
          <w:rFonts w:ascii="Times New Roman" w:hAnsi="Times New Roman"/>
        </w:rPr>
        <w:t>”. Az „eredeti különbözet”. A goodwill meghatározásának elméleti megközelítése és gyakorlati válaszok.</w:t>
      </w:r>
    </w:p>
    <w:p w:rsidR="00E01CC6" w:rsidRPr="009A6777" w:rsidRDefault="00E01CC6" w:rsidP="00E932E3">
      <w:pPr>
        <w:spacing w:after="0"/>
        <w:rPr>
          <w:rFonts w:ascii="Times New Roman" w:hAnsi="Times New Roman"/>
          <w:sz w:val="16"/>
          <w:szCs w:val="16"/>
        </w:rPr>
      </w:pPr>
    </w:p>
    <w:p w:rsidR="00E01CC6" w:rsidRPr="00567DFA" w:rsidRDefault="00E01CC6" w:rsidP="00E932E3">
      <w:pPr>
        <w:spacing w:after="0"/>
        <w:rPr>
          <w:rFonts w:ascii="Times New Roman" w:hAnsi="Times New Roman"/>
        </w:rPr>
      </w:pPr>
      <w:r w:rsidRPr="00567DFA">
        <w:rPr>
          <w:rFonts w:ascii="Times New Roman" w:hAnsi="Times New Roman"/>
        </w:rPr>
        <w:t>Társult vállalkozások. A mértékadó befolyás. Az „egysoros” konszolidálás oka és alkalmazása. A goodwill probléma. „Értékvesztés” a társult vállalkozások kapcsán. „Kötelezetti” helyzetek.</w:t>
      </w:r>
    </w:p>
    <w:p w:rsidR="00E01CC6" w:rsidRPr="009A6777" w:rsidRDefault="00E01CC6" w:rsidP="00E932E3">
      <w:pPr>
        <w:spacing w:after="0"/>
        <w:rPr>
          <w:rFonts w:ascii="Times New Roman" w:hAnsi="Times New Roman"/>
          <w:sz w:val="16"/>
          <w:szCs w:val="16"/>
        </w:rPr>
      </w:pPr>
    </w:p>
    <w:p w:rsidR="00E01CC6" w:rsidRDefault="00E01CC6" w:rsidP="00E932E3">
      <w:pPr>
        <w:spacing w:after="0"/>
        <w:rPr>
          <w:rFonts w:ascii="Times New Roman" w:hAnsi="Times New Roman"/>
        </w:rPr>
      </w:pPr>
      <w:r w:rsidRPr="00567DFA">
        <w:rPr>
          <w:rFonts w:ascii="Times New Roman" w:hAnsi="Times New Roman"/>
        </w:rPr>
        <w:t>Közös szerveződések. Közös tevékenység. Közös vállalkozás. Fogalmak, elhatárolás, megjelenítés a pénzügyi kimutatásokban</w:t>
      </w:r>
      <w:r w:rsidR="00673635">
        <w:rPr>
          <w:rFonts w:ascii="Times New Roman" w:hAnsi="Times New Roman"/>
        </w:rPr>
        <w:t>.</w:t>
      </w:r>
    </w:p>
    <w:p w:rsidR="00673635" w:rsidRPr="009A6777" w:rsidRDefault="00673635" w:rsidP="00E932E3">
      <w:pPr>
        <w:spacing w:after="0"/>
        <w:rPr>
          <w:rFonts w:ascii="Times New Roman" w:hAnsi="Times New Roman"/>
          <w:sz w:val="16"/>
          <w:szCs w:val="16"/>
        </w:rPr>
      </w:pPr>
    </w:p>
    <w:p w:rsidR="00673635" w:rsidRPr="00567DFA" w:rsidRDefault="00673635" w:rsidP="00E932E3">
      <w:pPr>
        <w:spacing w:after="0"/>
        <w:rPr>
          <w:rFonts w:ascii="Times New Roman" w:hAnsi="Times New Roman"/>
        </w:rPr>
      </w:pPr>
      <w:r>
        <w:rPr>
          <w:rFonts w:ascii="Times New Roman" w:hAnsi="Times New Roman"/>
        </w:rPr>
        <w:t>Befektetési vállalkozások. A befektetési vállalkozások konszolidálására vonatkozó kivételek</w:t>
      </w:r>
      <w:r w:rsidR="006C1BD3">
        <w:rPr>
          <w:rFonts w:ascii="Times New Roman" w:hAnsi="Times New Roman"/>
        </w:rPr>
        <w:t xml:space="preserve"> (a társult vállalkozásokra kiterjedően is)</w:t>
      </w:r>
      <w:r>
        <w:rPr>
          <w:rFonts w:ascii="Times New Roman" w:hAnsi="Times New Roman"/>
        </w:rPr>
        <w:t>. Az ilyen vállalkozások megjelenítése és értékelése.</w:t>
      </w:r>
    </w:p>
    <w:p w:rsidR="00E01CC6" w:rsidRPr="009A6777" w:rsidRDefault="00E01CC6" w:rsidP="00E932E3">
      <w:pPr>
        <w:spacing w:after="0"/>
        <w:rPr>
          <w:rFonts w:ascii="Times New Roman" w:hAnsi="Times New Roman"/>
          <w:sz w:val="16"/>
          <w:szCs w:val="16"/>
        </w:rPr>
      </w:pPr>
    </w:p>
    <w:p w:rsidR="00E01CC6" w:rsidRPr="00567DFA" w:rsidRDefault="00E01CC6" w:rsidP="00E932E3">
      <w:pPr>
        <w:spacing w:after="0"/>
        <w:rPr>
          <w:rFonts w:ascii="Times New Roman" w:hAnsi="Times New Roman"/>
        </w:rPr>
      </w:pPr>
      <w:r w:rsidRPr="00567DFA">
        <w:rPr>
          <w:rFonts w:ascii="Times New Roman" w:hAnsi="Times New Roman"/>
        </w:rPr>
        <w:t xml:space="preserve">Kapcsolt felekkel kapcsolatos közzétételek. </w:t>
      </w:r>
    </w:p>
    <w:p w:rsidR="00E01CC6" w:rsidRPr="009A6777" w:rsidRDefault="00E01CC6" w:rsidP="00E932E3">
      <w:pPr>
        <w:spacing w:after="0"/>
        <w:rPr>
          <w:rFonts w:ascii="Times New Roman" w:hAnsi="Times New Roman"/>
          <w:sz w:val="16"/>
          <w:szCs w:val="16"/>
        </w:rPr>
      </w:pPr>
    </w:p>
    <w:p w:rsidR="00E01CC6" w:rsidRDefault="00E01CC6" w:rsidP="00E932E3">
      <w:pPr>
        <w:spacing w:after="0"/>
        <w:rPr>
          <w:rFonts w:ascii="Times New Roman" w:hAnsi="Times New Roman"/>
        </w:rPr>
      </w:pPr>
      <w:r w:rsidRPr="00567DFA">
        <w:rPr>
          <w:rFonts w:ascii="Times New Roman" w:hAnsi="Times New Roman"/>
        </w:rPr>
        <w:t>Idegen pénznemben kifejezett kimutatások átváltása. Halasztott adóval kapcsolatos problémák.</w:t>
      </w:r>
    </w:p>
    <w:p w:rsidR="00673635" w:rsidRDefault="00673635" w:rsidP="00E932E3">
      <w:pPr>
        <w:spacing w:after="0"/>
        <w:rPr>
          <w:rFonts w:ascii="Times New Roman" w:hAnsi="Times New Roman"/>
        </w:rPr>
      </w:pPr>
    </w:p>
    <w:p w:rsidR="00673635" w:rsidRDefault="000A599C" w:rsidP="00E932E3">
      <w:pPr>
        <w:spacing w:after="0"/>
        <w:rPr>
          <w:rFonts w:ascii="Times New Roman" w:hAnsi="Times New Roman"/>
          <w:b/>
        </w:rPr>
      </w:pPr>
      <w:r w:rsidRPr="000A599C">
        <w:rPr>
          <w:rFonts w:ascii="Times New Roman" w:hAnsi="Times New Roman"/>
          <w:b/>
        </w:rPr>
        <w:t>Közzétételek más gazdálkodó egységben lévő érdekeltségekről</w:t>
      </w:r>
    </w:p>
    <w:p w:rsidR="00673635" w:rsidRPr="006E2535" w:rsidRDefault="006E2535" w:rsidP="00E932E3">
      <w:pPr>
        <w:spacing w:after="0"/>
        <w:rPr>
          <w:rFonts w:ascii="Times New Roman" w:hAnsi="Times New Roman"/>
        </w:rPr>
      </w:pPr>
      <w:r>
        <w:rPr>
          <w:rFonts w:ascii="Times New Roman" w:hAnsi="Times New Roman"/>
        </w:rPr>
        <w:t xml:space="preserve">A standard hatóköre (elhatárolása más hasonló standardoktól). A standard célja és cél megvalósításának módja. A lényeges megítélést igénylő kérdések és feltételezések. </w:t>
      </w:r>
      <w:r>
        <w:rPr>
          <w:rFonts w:ascii="Times New Roman" w:hAnsi="Times New Roman"/>
        </w:rPr>
        <w:lastRenderedPageBreak/>
        <w:t xml:space="preserve">Közzétételi követelmények leányvállalatokkal, közös szerveződésekkel és társult vállalkozásokkal kapcsolatosan. Strukturált gazdálkodó egység fogalma és az ezekkel kapcsolatos közzétételi követelmények. </w:t>
      </w:r>
    </w:p>
    <w:p w:rsidR="008F5C22" w:rsidRDefault="008F5C22" w:rsidP="00E932E3">
      <w:pPr>
        <w:spacing w:after="0"/>
        <w:rPr>
          <w:rFonts w:ascii="Times New Roman" w:hAnsi="Times New Roman"/>
        </w:rPr>
      </w:pPr>
    </w:p>
    <w:p w:rsidR="008F5C22" w:rsidRPr="00673635" w:rsidRDefault="00BB4CA7" w:rsidP="00E932E3">
      <w:pPr>
        <w:spacing w:after="0"/>
        <w:rPr>
          <w:rFonts w:ascii="Times New Roman" w:hAnsi="Times New Roman"/>
          <w:b/>
        </w:rPr>
      </w:pPr>
      <w:r>
        <w:rPr>
          <w:rFonts w:ascii="Times New Roman" w:hAnsi="Times New Roman"/>
          <w:b/>
        </w:rPr>
        <w:t>Egyedi</w:t>
      </w:r>
      <w:r w:rsidR="000A599C" w:rsidRPr="000A599C">
        <w:rPr>
          <w:rFonts w:ascii="Times New Roman" w:hAnsi="Times New Roman"/>
          <w:b/>
        </w:rPr>
        <w:t xml:space="preserve"> pénzügyi kimutatások</w:t>
      </w:r>
      <w:r w:rsidR="00A37ACC">
        <w:rPr>
          <w:rFonts w:ascii="Times New Roman" w:hAnsi="Times New Roman"/>
          <w:b/>
        </w:rPr>
        <w:t xml:space="preserve"> </w:t>
      </w:r>
    </w:p>
    <w:p w:rsidR="008F5C22" w:rsidRPr="00567DFA" w:rsidRDefault="00BB4CA7" w:rsidP="00E932E3">
      <w:pPr>
        <w:spacing w:after="0"/>
        <w:rPr>
          <w:rFonts w:ascii="Times New Roman" w:hAnsi="Times New Roman"/>
        </w:rPr>
      </w:pPr>
      <w:r>
        <w:rPr>
          <w:rFonts w:ascii="Times New Roman" w:hAnsi="Times New Roman"/>
        </w:rPr>
        <w:t xml:space="preserve">Az egyedi </w:t>
      </w:r>
      <w:r w:rsidR="008F5C22">
        <w:rPr>
          <w:rFonts w:ascii="Times New Roman" w:hAnsi="Times New Roman"/>
        </w:rPr>
        <w:t>pénzügyi kimutatások fogalma</w:t>
      </w:r>
      <w:r>
        <w:rPr>
          <w:rFonts w:ascii="Times New Roman" w:hAnsi="Times New Roman"/>
        </w:rPr>
        <w:t xml:space="preserve">. Az egyedi </w:t>
      </w:r>
      <w:r w:rsidR="00673635">
        <w:rPr>
          <w:rFonts w:ascii="Times New Roman" w:hAnsi="Times New Roman"/>
        </w:rPr>
        <w:t>pénzügyi kimutatások alkalmazási köre. A leányvállalatok, közös szerveződések és társult vállalkozások megjelenítése és értékelése a</w:t>
      </w:r>
      <w:r>
        <w:rPr>
          <w:rFonts w:ascii="Times New Roman" w:hAnsi="Times New Roman"/>
        </w:rPr>
        <w:t>z egyedi</w:t>
      </w:r>
      <w:r w:rsidR="00673635">
        <w:rPr>
          <w:rFonts w:ascii="Times New Roman" w:hAnsi="Times New Roman"/>
        </w:rPr>
        <w:t xml:space="preserve"> pénzügyi kimutatásokban. Osztalékok. </w:t>
      </w:r>
      <w:proofErr w:type="spellStart"/>
      <w:r w:rsidR="00673635">
        <w:rPr>
          <w:rFonts w:ascii="Times New Roman" w:hAnsi="Times New Roman"/>
        </w:rPr>
        <w:t>Reorganziáció</w:t>
      </w:r>
      <w:proofErr w:type="spellEnd"/>
      <w:r w:rsidR="00673635">
        <w:rPr>
          <w:rFonts w:ascii="Times New Roman" w:hAnsi="Times New Roman"/>
        </w:rPr>
        <w:t xml:space="preserve"> új anyavállalat létrehozásával (számviteli kezelése). Közzétételi követelmények.</w:t>
      </w:r>
    </w:p>
    <w:p w:rsidR="00E01CC6" w:rsidRPr="00567DFA" w:rsidRDefault="00E01CC6" w:rsidP="00E932E3">
      <w:pPr>
        <w:spacing w:after="0"/>
        <w:rPr>
          <w:rFonts w:ascii="Times New Roman" w:hAnsi="Times New Roman"/>
          <w:b/>
        </w:rPr>
      </w:pPr>
      <w:r w:rsidRPr="00567DFA">
        <w:rPr>
          <w:rFonts w:ascii="Times New Roman" w:hAnsi="Times New Roman"/>
          <w:b/>
        </w:rPr>
        <w:t>Megszüntetendő tevékenységek, értékesítési céllal tartott eszközök</w:t>
      </w:r>
    </w:p>
    <w:p w:rsidR="00E01CC6" w:rsidRPr="0025752E" w:rsidRDefault="00E01CC6" w:rsidP="00E932E3">
      <w:pPr>
        <w:spacing w:after="0"/>
        <w:rPr>
          <w:rFonts w:ascii="Times New Roman" w:hAnsi="Times New Roman"/>
        </w:rPr>
      </w:pPr>
      <w:r w:rsidRPr="00567DFA">
        <w:rPr>
          <w:rFonts w:ascii="Times New Roman" w:hAnsi="Times New Roman"/>
        </w:rPr>
        <w:t>Értékesítési céllal tartott eszközök meghatározása. Az értékesítési céllal tartott eszközök közé sorolás feltételei. Értékelés. Visszasorolás. Megszüntetendő tevékenységek fogalma és számviteli kezelése. Átsorolások. Leányvállalatok elidegenítésével kapcsolatos teendők a konszolidált mérlegben (a téma kapcsán).</w:t>
      </w:r>
    </w:p>
    <w:p w:rsidR="007D212F" w:rsidRDefault="007D212F" w:rsidP="00E932E3">
      <w:pPr>
        <w:spacing w:after="0"/>
        <w:rPr>
          <w:rFonts w:ascii="Times New Roman" w:hAnsi="Times New Roman"/>
          <w:b/>
        </w:rPr>
      </w:pPr>
    </w:p>
    <w:p w:rsidR="00E01CC6" w:rsidRPr="009A6777" w:rsidRDefault="000A599C" w:rsidP="00E932E3">
      <w:pPr>
        <w:spacing w:after="0"/>
        <w:rPr>
          <w:rFonts w:ascii="Times New Roman" w:hAnsi="Times New Roman"/>
          <w:b/>
        </w:rPr>
      </w:pPr>
      <w:r w:rsidRPr="009A6777">
        <w:rPr>
          <w:rFonts w:ascii="Times New Roman" w:hAnsi="Times New Roman"/>
          <w:b/>
        </w:rPr>
        <w:t>Működési szegmensek</w:t>
      </w:r>
    </w:p>
    <w:p w:rsidR="00E01CC6" w:rsidRPr="00567DFA" w:rsidRDefault="000A599C" w:rsidP="00E932E3">
      <w:pPr>
        <w:spacing w:after="0"/>
        <w:rPr>
          <w:rFonts w:ascii="Times New Roman" w:hAnsi="Times New Roman"/>
          <w:b/>
        </w:rPr>
      </w:pPr>
      <w:r w:rsidRPr="009A6777">
        <w:rPr>
          <w:rFonts w:ascii="Times New Roman" w:hAnsi="Times New Roman"/>
        </w:rPr>
        <w:t xml:space="preserve">A </w:t>
      </w:r>
      <w:r w:rsidR="00655882" w:rsidRPr="009A6777">
        <w:rPr>
          <w:rFonts w:ascii="Times New Roman" w:hAnsi="Times New Roman"/>
        </w:rPr>
        <w:t>leglényegesebb működéssel kapcsolatos döntéseket meghozó személy (CODM</w:t>
      </w:r>
      <w:proofErr w:type="gramStart"/>
      <w:r w:rsidR="00655882" w:rsidRPr="009A6777">
        <w:rPr>
          <w:rFonts w:ascii="Times New Roman" w:hAnsi="Times New Roman"/>
        </w:rPr>
        <w:t>)</w:t>
      </w:r>
      <w:r w:rsidRPr="009A6777">
        <w:rPr>
          <w:rFonts w:ascii="Times New Roman" w:hAnsi="Times New Roman"/>
        </w:rPr>
        <w:t xml:space="preserve">  a</w:t>
      </w:r>
      <w:proofErr w:type="gramEnd"/>
      <w:r w:rsidRPr="009A6777">
        <w:rPr>
          <w:rFonts w:ascii="Times New Roman" w:hAnsi="Times New Roman"/>
        </w:rPr>
        <w:t xml:space="preserve"> szegmensek minősítésének szempontjai.  </w:t>
      </w:r>
      <w:proofErr w:type="gramStart"/>
      <w:r w:rsidRPr="009A6777">
        <w:rPr>
          <w:rFonts w:ascii="Times New Roman" w:hAnsi="Times New Roman"/>
        </w:rPr>
        <w:t>A</w:t>
      </w:r>
      <w:proofErr w:type="gramEnd"/>
      <w:r w:rsidR="00E01CC6" w:rsidRPr="009A6777">
        <w:rPr>
          <w:rFonts w:ascii="Times New Roman" w:hAnsi="Times New Roman"/>
        </w:rPr>
        <w:t xml:space="preserve"> szegmens, a bemutatandó szegmens. A</w:t>
      </w:r>
      <w:r w:rsidR="00E01CC6" w:rsidRPr="00567DFA">
        <w:rPr>
          <w:rFonts w:ascii="Times New Roman" w:hAnsi="Times New Roman"/>
        </w:rPr>
        <w:t xml:space="preserve"> vonatkozó határszámok. Megjelenítés. A szegmensen belüli és a szegmensek közötti tranzakciók kezelése. Egyeztetések. A szegmensen „kívüli” tételek.</w:t>
      </w:r>
    </w:p>
    <w:p w:rsidR="00E01CC6" w:rsidRPr="00567DFA" w:rsidRDefault="00E01CC6" w:rsidP="00E932E3">
      <w:pPr>
        <w:spacing w:after="0"/>
        <w:rPr>
          <w:rFonts w:ascii="Times New Roman" w:hAnsi="Times New Roman"/>
          <w:b/>
        </w:rPr>
      </w:pPr>
    </w:p>
    <w:p w:rsidR="00E01CC6" w:rsidRPr="00567DFA" w:rsidRDefault="00E01CC6" w:rsidP="00E932E3">
      <w:pPr>
        <w:spacing w:after="0"/>
        <w:rPr>
          <w:rFonts w:ascii="Times New Roman" w:hAnsi="Times New Roman"/>
          <w:b/>
        </w:rPr>
      </w:pPr>
      <w:r w:rsidRPr="00567DFA">
        <w:rPr>
          <w:rFonts w:ascii="Times New Roman" w:hAnsi="Times New Roman"/>
          <w:b/>
        </w:rPr>
        <w:t>EPS mutató</w:t>
      </w:r>
    </w:p>
    <w:p w:rsidR="00E01CC6" w:rsidRPr="00567DFA" w:rsidRDefault="00E01CC6" w:rsidP="00E932E3">
      <w:pPr>
        <w:spacing w:after="0"/>
        <w:rPr>
          <w:rFonts w:ascii="Times New Roman" w:hAnsi="Times New Roman"/>
        </w:rPr>
      </w:pPr>
      <w:r w:rsidRPr="00567DFA">
        <w:rPr>
          <w:rFonts w:ascii="Times New Roman" w:hAnsi="Times New Roman"/>
        </w:rPr>
        <w:t>EPS mutató jelentése és tartalma. Az alap és a hígított EPS. Ingyenesen és ár alatt kibocsátott részvények. Potenciális törzsrészvények kezelése. Közzétételi kötelezettségek.</w:t>
      </w:r>
    </w:p>
    <w:p w:rsidR="00E01CC6" w:rsidRPr="00567DFA" w:rsidRDefault="00E01CC6" w:rsidP="00E932E3">
      <w:pPr>
        <w:spacing w:after="0"/>
        <w:rPr>
          <w:rFonts w:ascii="Times New Roman" w:hAnsi="Times New Roman"/>
        </w:rPr>
      </w:pPr>
    </w:p>
    <w:p w:rsidR="00E01CC6" w:rsidRPr="00567DFA" w:rsidRDefault="00E01CC6" w:rsidP="00E932E3">
      <w:pPr>
        <w:spacing w:after="0"/>
        <w:rPr>
          <w:rFonts w:ascii="Times New Roman" w:hAnsi="Times New Roman"/>
          <w:b/>
        </w:rPr>
      </w:pPr>
      <w:r w:rsidRPr="00567DFA">
        <w:rPr>
          <w:rFonts w:ascii="Times New Roman" w:hAnsi="Times New Roman"/>
          <w:b/>
        </w:rPr>
        <w:t>Cash-flow kimutatás</w:t>
      </w:r>
    </w:p>
    <w:p w:rsidR="00E01CC6" w:rsidRPr="009A6777" w:rsidRDefault="00E01CC6" w:rsidP="00E932E3">
      <w:pPr>
        <w:spacing w:after="0"/>
        <w:rPr>
          <w:rFonts w:ascii="Times New Roman" w:hAnsi="Times New Roman"/>
          <w:b/>
          <w:spacing w:val="-4"/>
        </w:rPr>
      </w:pPr>
      <w:r w:rsidRPr="009A6777">
        <w:rPr>
          <w:rFonts w:ascii="Times New Roman" w:hAnsi="Times New Roman"/>
          <w:spacing w:val="-4"/>
        </w:rPr>
        <w:t>Egyedi és konszolidált cash-flow kimutatásokkal kapcsolatos szabályozás és gyakorlat.</w:t>
      </w:r>
    </w:p>
    <w:p w:rsidR="00E01CC6" w:rsidRPr="00567DFA" w:rsidRDefault="00E01CC6" w:rsidP="00E932E3">
      <w:pPr>
        <w:spacing w:after="0"/>
        <w:rPr>
          <w:rFonts w:ascii="Times New Roman" w:hAnsi="Times New Roman"/>
        </w:rPr>
      </w:pPr>
      <w:r w:rsidRPr="00567DFA">
        <w:rPr>
          <w:rFonts w:ascii="Times New Roman" w:hAnsi="Times New Roman"/>
        </w:rPr>
        <w:t xml:space="preserve"> </w:t>
      </w:r>
    </w:p>
    <w:p w:rsidR="00E01CC6" w:rsidRPr="009A6777" w:rsidRDefault="000A599C" w:rsidP="00E932E3">
      <w:pPr>
        <w:spacing w:after="0"/>
        <w:rPr>
          <w:rFonts w:ascii="Times New Roman" w:hAnsi="Times New Roman"/>
          <w:b/>
        </w:rPr>
      </w:pPr>
      <w:r w:rsidRPr="009A6777">
        <w:rPr>
          <w:rFonts w:ascii="Times New Roman" w:hAnsi="Times New Roman"/>
          <w:b/>
        </w:rPr>
        <w:t>Egyéb jelentések</w:t>
      </w:r>
      <w:r w:rsidR="00D16E89" w:rsidRPr="009A6777">
        <w:rPr>
          <w:rFonts w:ascii="Times New Roman" w:hAnsi="Times New Roman"/>
          <w:b/>
        </w:rPr>
        <w:t xml:space="preserve"> </w:t>
      </w:r>
    </w:p>
    <w:p w:rsidR="00E01CC6" w:rsidRPr="00567DFA" w:rsidRDefault="000A599C" w:rsidP="00E932E3">
      <w:pPr>
        <w:spacing w:after="0"/>
        <w:rPr>
          <w:rFonts w:ascii="Times New Roman" w:hAnsi="Times New Roman"/>
        </w:rPr>
      </w:pPr>
      <w:r w:rsidRPr="009A6777">
        <w:rPr>
          <w:rFonts w:ascii="Times New Roman" w:hAnsi="Times New Roman"/>
        </w:rPr>
        <w:t>A pénzügyi kimutatásokkal együtt (azokhoz kapcsolódóan) elkészített nyilvánosan terjesztett dokumentumok vázlatos bemutatása. A prospektus. A társadalmi felelősségvállalási jelentés (</w:t>
      </w:r>
      <w:proofErr w:type="spellStart"/>
      <w:r w:rsidRPr="009A6777">
        <w:rPr>
          <w:rFonts w:ascii="Times New Roman" w:hAnsi="Times New Roman"/>
        </w:rPr>
        <w:t>social</w:t>
      </w:r>
      <w:proofErr w:type="spellEnd"/>
      <w:r w:rsidRPr="009A6777">
        <w:rPr>
          <w:rFonts w:ascii="Times New Roman" w:hAnsi="Times New Roman"/>
        </w:rPr>
        <w:t xml:space="preserve"> </w:t>
      </w:r>
      <w:proofErr w:type="spellStart"/>
      <w:r w:rsidRPr="009A6777">
        <w:rPr>
          <w:rFonts w:ascii="Times New Roman" w:hAnsi="Times New Roman"/>
        </w:rPr>
        <w:t>report</w:t>
      </w:r>
      <w:proofErr w:type="spellEnd"/>
      <w:r w:rsidRPr="009A6777">
        <w:rPr>
          <w:rFonts w:ascii="Times New Roman" w:hAnsi="Times New Roman"/>
        </w:rPr>
        <w:t xml:space="preserve">). A hozzáadott érték jelentés. A </w:t>
      </w:r>
      <w:proofErr w:type="spellStart"/>
      <w:r w:rsidRPr="009A6777">
        <w:rPr>
          <w:rFonts w:ascii="Times New Roman" w:hAnsi="Times New Roman"/>
        </w:rPr>
        <w:t>managment</w:t>
      </w:r>
      <w:proofErr w:type="spellEnd"/>
      <w:r w:rsidRPr="009A6777">
        <w:rPr>
          <w:rFonts w:ascii="Times New Roman" w:hAnsi="Times New Roman"/>
        </w:rPr>
        <w:t xml:space="preserve"> </w:t>
      </w:r>
      <w:proofErr w:type="spellStart"/>
      <w:r w:rsidRPr="009A6777">
        <w:rPr>
          <w:rFonts w:ascii="Times New Roman" w:hAnsi="Times New Roman"/>
        </w:rPr>
        <w:t>commentary</w:t>
      </w:r>
      <w:proofErr w:type="spellEnd"/>
      <w:r w:rsidRPr="009A6777">
        <w:rPr>
          <w:rFonts w:ascii="Times New Roman" w:hAnsi="Times New Roman"/>
        </w:rPr>
        <w:t>, vállalatirányítási jelentés (</w:t>
      </w:r>
      <w:proofErr w:type="spellStart"/>
      <w:r w:rsidRPr="009A6777">
        <w:rPr>
          <w:rFonts w:ascii="Times New Roman" w:hAnsi="Times New Roman"/>
        </w:rPr>
        <w:t>corporate</w:t>
      </w:r>
      <w:proofErr w:type="spellEnd"/>
      <w:r w:rsidRPr="009A6777">
        <w:rPr>
          <w:rFonts w:ascii="Times New Roman" w:hAnsi="Times New Roman"/>
        </w:rPr>
        <w:t xml:space="preserve"> </w:t>
      </w:r>
      <w:proofErr w:type="spellStart"/>
      <w:r w:rsidRPr="009A6777">
        <w:rPr>
          <w:rFonts w:ascii="Times New Roman" w:hAnsi="Times New Roman"/>
        </w:rPr>
        <w:t>government</w:t>
      </w:r>
      <w:proofErr w:type="spellEnd"/>
      <w:r w:rsidRPr="009A6777">
        <w:rPr>
          <w:rFonts w:ascii="Times New Roman" w:hAnsi="Times New Roman"/>
        </w:rPr>
        <w:t xml:space="preserve"> </w:t>
      </w:r>
      <w:proofErr w:type="spellStart"/>
      <w:r w:rsidRPr="009A6777">
        <w:rPr>
          <w:rFonts w:ascii="Times New Roman" w:hAnsi="Times New Roman"/>
        </w:rPr>
        <w:t>report</w:t>
      </w:r>
      <w:proofErr w:type="spellEnd"/>
      <w:r w:rsidRPr="009A6777">
        <w:rPr>
          <w:rFonts w:ascii="Times New Roman" w:hAnsi="Times New Roman"/>
        </w:rPr>
        <w:t>) stb.</w:t>
      </w:r>
    </w:p>
    <w:p w:rsidR="00E01CC6" w:rsidRPr="00567DFA" w:rsidRDefault="00E01CC6" w:rsidP="00E932E3">
      <w:pPr>
        <w:spacing w:after="0"/>
        <w:rPr>
          <w:rFonts w:ascii="Times New Roman" w:hAnsi="Times New Roman"/>
        </w:rPr>
      </w:pPr>
    </w:p>
    <w:p w:rsidR="00E01CC6" w:rsidRPr="00567DFA" w:rsidRDefault="00E01CC6" w:rsidP="00E932E3">
      <w:pPr>
        <w:spacing w:after="0"/>
        <w:rPr>
          <w:rFonts w:ascii="Times New Roman" w:hAnsi="Times New Roman"/>
          <w:b/>
        </w:rPr>
      </w:pPr>
      <w:r w:rsidRPr="00567DFA">
        <w:rPr>
          <w:rFonts w:ascii="Times New Roman" w:hAnsi="Times New Roman"/>
          <w:b/>
        </w:rPr>
        <w:t>Első alkalmazás</w:t>
      </w:r>
    </w:p>
    <w:p w:rsidR="00E01CC6" w:rsidRDefault="00E01CC6" w:rsidP="00E932E3">
      <w:pPr>
        <w:spacing w:after="0"/>
        <w:rPr>
          <w:rFonts w:ascii="Times New Roman" w:hAnsi="Times New Roman"/>
        </w:rPr>
      </w:pPr>
      <w:r w:rsidRPr="00567DFA">
        <w:rPr>
          <w:rFonts w:ascii="Times New Roman" w:hAnsi="Times New Roman"/>
        </w:rPr>
        <w:t>Az áttérés időpontja. Áttérés végrehajtása. Mentesítések, egyszerűsítések.</w:t>
      </w:r>
    </w:p>
    <w:p w:rsidR="008F5C22" w:rsidRDefault="008F5C22" w:rsidP="00E932E3">
      <w:pPr>
        <w:spacing w:after="0"/>
        <w:rPr>
          <w:rFonts w:ascii="Times New Roman" w:hAnsi="Times New Roman"/>
        </w:rPr>
      </w:pPr>
    </w:p>
    <w:p w:rsidR="00E01CC6" w:rsidRPr="009A6777" w:rsidRDefault="00E01CC6" w:rsidP="00E932E3">
      <w:pPr>
        <w:spacing w:after="0"/>
        <w:rPr>
          <w:rFonts w:ascii="Times New Roman" w:hAnsi="Times New Roman"/>
          <w:b/>
        </w:rPr>
      </w:pPr>
      <w:r w:rsidRPr="009A6777">
        <w:rPr>
          <w:rFonts w:ascii="Times New Roman" w:hAnsi="Times New Roman"/>
          <w:b/>
        </w:rPr>
        <w:t>Egyes iparági sajátosságok</w:t>
      </w:r>
    </w:p>
    <w:p w:rsidR="00E01CC6" w:rsidRPr="00567DFA" w:rsidRDefault="00E01CC6" w:rsidP="00E932E3">
      <w:pPr>
        <w:spacing w:after="0"/>
        <w:rPr>
          <w:rFonts w:ascii="Times New Roman" w:hAnsi="Times New Roman"/>
        </w:rPr>
      </w:pPr>
      <w:r w:rsidRPr="00567DFA">
        <w:rPr>
          <w:rFonts w:ascii="Times New Roman" w:hAnsi="Times New Roman"/>
        </w:rPr>
        <w:t>Az IFRS-ben szabályozott egyes különösen szabályozott iparágak szabályozási logikája. Az egyes szabályozások tartalma (a lényegre koncentrálva). Nyugdíjkasszák. Mezőgazdaság. Biztosítási szerződések. Erőforrások feltérképezése és értékelése.</w:t>
      </w:r>
    </w:p>
    <w:p w:rsidR="00E01CC6" w:rsidRPr="00567DFA" w:rsidRDefault="00E01CC6" w:rsidP="00E932E3">
      <w:pPr>
        <w:spacing w:after="0"/>
        <w:rPr>
          <w:rFonts w:ascii="Times New Roman" w:hAnsi="Times New Roman"/>
        </w:rPr>
      </w:pPr>
    </w:p>
    <w:p w:rsidR="00E01CC6" w:rsidRPr="009A6777" w:rsidRDefault="00E01CC6" w:rsidP="00E932E3">
      <w:pPr>
        <w:spacing w:after="0"/>
        <w:rPr>
          <w:rFonts w:ascii="Times New Roman" w:hAnsi="Times New Roman"/>
          <w:b/>
        </w:rPr>
      </w:pPr>
      <w:r w:rsidRPr="009A6777">
        <w:rPr>
          <w:rFonts w:ascii="Times New Roman" w:hAnsi="Times New Roman"/>
          <w:b/>
        </w:rPr>
        <w:t>Kis- és középvállalkozásokra vonatkozó szabályozás</w:t>
      </w:r>
    </w:p>
    <w:p w:rsidR="00E01CC6" w:rsidRPr="00567DFA" w:rsidRDefault="00E01CC6" w:rsidP="00E932E3">
      <w:pPr>
        <w:spacing w:after="0"/>
        <w:rPr>
          <w:rFonts w:ascii="Times New Roman" w:hAnsi="Times New Roman"/>
        </w:rPr>
      </w:pPr>
      <w:r w:rsidRPr="00567DFA">
        <w:rPr>
          <w:rFonts w:ascii="Times New Roman" w:hAnsi="Times New Roman"/>
        </w:rPr>
        <w:lastRenderedPageBreak/>
        <w:t>Az IFRS SME hatóköre. Az SME standard felépítése. A SME standardban megjelenő egyszerűsítések vázlatos bemutatása.</w:t>
      </w:r>
    </w:p>
    <w:p w:rsidR="00E01CC6" w:rsidRDefault="00E01CC6" w:rsidP="00E932E3">
      <w:pPr>
        <w:spacing w:after="0"/>
        <w:rPr>
          <w:rFonts w:ascii="Times New Roman" w:hAnsi="Times New Roman"/>
        </w:rPr>
      </w:pPr>
    </w:p>
    <w:p w:rsidR="00BB4CA7" w:rsidRPr="00BB4CA7" w:rsidRDefault="000A599C" w:rsidP="00E932E3">
      <w:pPr>
        <w:spacing w:after="0"/>
        <w:rPr>
          <w:rFonts w:ascii="Times New Roman" w:hAnsi="Times New Roman"/>
          <w:b/>
        </w:rPr>
      </w:pPr>
      <w:r w:rsidRPr="000A599C">
        <w:rPr>
          <w:rFonts w:ascii="Times New Roman" w:hAnsi="Times New Roman"/>
          <w:b/>
        </w:rPr>
        <w:t>Az IFR</w:t>
      </w:r>
      <w:r w:rsidR="00BB4CA7" w:rsidRPr="00BB4CA7">
        <w:rPr>
          <w:rFonts w:ascii="Times New Roman" w:hAnsi="Times New Roman"/>
          <w:b/>
        </w:rPr>
        <w:t xml:space="preserve">S-ek alkalmazása az </w:t>
      </w:r>
      <w:r w:rsidR="00BB4CA7" w:rsidRPr="00A37ACC">
        <w:rPr>
          <w:rFonts w:ascii="Times New Roman" w:hAnsi="Times New Roman"/>
          <w:b/>
        </w:rPr>
        <w:t>egyedi</w:t>
      </w:r>
      <w:r w:rsidRPr="000A599C">
        <w:rPr>
          <w:rFonts w:ascii="Times New Roman" w:hAnsi="Times New Roman"/>
          <w:b/>
        </w:rPr>
        <w:t xml:space="preserve"> pénzügyi kimutatásokra Magyarországon.</w:t>
      </w:r>
    </w:p>
    <w:p w:rsidR="00BB4CA7" w:rsidRPr="00BB4CA7" w:rsidRDefault="00BB4CA7" w:rsidP="00E932E3">
      <w:pPr>
        <w:spacing w:after="0"/>
        <w:rPr>
          <w:rFonts w:ascii="Times New Roman" w:hAnsi="Times New Roman"/>
        </w:rPr>
      </w:pPr>
      <w:r>
        <w:rPr>
          <w:rFonts w:ascii="Times New Roman" w:hAnsi="Times New Roman"/>
        </w:rPr>
        <w:t>A számvitelről szóló 2000. évi C törvénybe (továbbiakban: Szt.) beépített fogalmak.</w:t>
      </w:r>
      <w:r w:rsidR="00A37ACC">
        <w:rPr>
          <w:rFonts w:ascii="Times New Roman" w:hAnsi="Times New Roman"/>
        </w:rPr>
        <w:t xml:space="preserve"> A IFRS-ek szerint beszámolók köre (kötelező, opcionális).</w:t>
      </w:r>
      <w:r>
        <w:rPr>
          <w:rFonts w:ascii="Times New Roman" w:hAnsi="Times New Roman"/>
        </w:rPr>
        <w:t xml:space="preserve"> </w:t>
      </w:r>
      <w:r w:rsidR="00A37ACC">
        <w:rPr>
          <w:rFonts w:ascii="Times New Roman" w:hAnsi="Times New Roman"/>
        </w:rPr>
        <w:t>A saját tőke megfeleltetési táblához kapcsolódó fogalmak és annak tartalma. Az IFRS-ek szerinti pénzügyi kimutatásokra való áttérés speciális szabályai és a visszatérés speciális szabályai, a visszatérés kötelező esetei. Az áttéréshez kapcsolódó lényegesebb adóalap és adókorrekciók. Az IFRS-ek alapján pénzügyi kimutatásokat készítők adóalapjának megállapításához kapcsolódó speciális korrekciók (Tao és HIPA).</w:t>
      </w:r>
    </w:p>
    <w:p w:rsidR="00872F2E" w:rsidRDefault="00872F2E" w:rsidP="00E932E3">
      <w:pPr>
        <w:spacing w:after="0"/>
        <w:rPr>
          <w:rFonts w:ascii="Times New Roman" w:hAnsi="Times New Roman"/>
          <w:b/>
        </w:rPr>
      </w:pPr>
    </w:p>
    <w:p w:rsidR="00E01CC6" w:rsidRPr="00567DFA" w:rsidRDefault="00E01CC6" w:rsidP="00E932E3">
      <w:pPr>
        <w:spacing w:after="0"/>
        <w:rPr>
          <w:rFonts w:ascii="Times New Roman" w:hAnsi="Times New Roman"/>
          <w:b/>
        </w:rPr>
      </w:pPr>
      <w:r w:rsidRPr="00567DFA">
        <w:rPr>
          <w:rFonts w:ascii="Times New Roman" w:hAnsi="Times New Roman"/>
          <w:b/>
        </w:rPr>
        <w:t>Számviteli rendszerek összehasonlítása</w:t>
      </w:r>
    </w:p>
    <w:p w:rsidR="00E01CC6" w:rsidRPr="00567DFA" w:rsidRDefault="00E01CC6" w:rsidP="00E932E3">
      <w:pPr>
        <w:spacing w:after="0"/>
        <w:rPr>
          <w:rFonts w:ascii="Times New Roman" w:hAnsi="Times New Roman"/>
        </w:rPr>
      </w:pPr>
      <w:r w:rsidRPr="00567DFA">
        <w:rPr>
          <w:rFonts w:ascii="Times New Roman" w:hAnsi="Times New Roman"/>
        </w:rPr>
        <w:t xml:space="preserve">Az IFRS szabályozásának összevetése a magyar szabályozással. </w:t>
      </w:r>
      <w:r w:rsidR="009A6777">
        <w:rPr>
          <w:rFonts w:ascii="Times New Roman" w:hAnsi="Times New Roman"/>
        </w:rPr>
        <w:t>(</w:t>
      </w:r>
      <w:r w:rsidR="008F5C22">
        <w:rPr>
          <w:rFonts w:ascii="Times New Roman" w:hAnsi="Times New Roman"/>
        </w:rPr>
        <w:t>Az egyes tételeknél külön utalva a különbségekre.</w:t>
      </w:r>
      <w:r w:rsidR="009A6777">
        <w:rPr>
          <w:rFonts w:ascii="Times New Roman" w:hAnsi="Times New Roman"/>
        </w:rPr>
        <w:t>)</w:t>
      </w:r>
    </w:p>
    <w:sectPr w:rsidR="00E01CC6" w:rsidRPr="00567DFA" w:rsidSect="003160C4">
      <w:footerReference w:type="even" r:id="rId8"/>
      <w:footerReference w:type="default" r:id="rId9"/>
      <w:pgSz w:w="11900" w:h="16840"/>
      <w:pgMar w:top="1440" w:right="1800" w:bottom="1440" w:left="1800" w:header="708" w:footer="708" w:gutter="0"/>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5C25D3" w15:done="0"/>
  <w15:commentEx w15:paraId="2E1923EA" w15:done="0"/>
  <w15:commentEx w15:paraId="0BBCE32F" w15:done="0"/>
  <w15:commentEx w15:paraId="541A6948" w15:done="0"/>
  <w15:commentEx w15:paraId="4671C962" w15:done="0"/>
  <w15:commentEx w15:paraId="737EF86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AE4" w:rsidRDefault="00077AE4" w:rsidP="003160C4">
      <w:pPr>
        <w:spacing w:after="0"/>
      </w:pPr>
      <w:r>
        <w:separator/>
      </w:r>
    </w:p>
  </w:endnote>
  <w:endnote w:type="continuationSeparator" w:id="0">
    <w:p w:rsidR="00077AE4" w:rsidRDefault="00077AE4" w:rsidP="003160C4">
      <w:pPr>
        <w:spacing w:after="0"/>
      </w:pPr>
      <w:r>
        <w:continuationSeparator/>
      </w:r>
    </w:p>
  </w:endnote>
  <w:endnote w:type="continuationNotice" w:id="1">
    <w:p w:rsidR="00077AE4" w:rsidRDefault="00077AE4">
      <w:pPr>
        <w:spacing w:after="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Geneva CE">
    <w:altName w:val="Lucida Grande CE"/>
    <w:charset w:val="58"/>
    <w:family w:val="auto"/>
    <w:pitch w:val="variable"/>
    <w:sig w:usb0="00000005" w:usb1="00000000" w:usb2="00000000" w:usb3="00000000" w:csb0="00000002"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CA7" w:rsidRDefault="000A599C" w:rsidP="00B97645">
    <w:pPr>
      <w:pStyle w:val="llb"/>
      <w:framePr w:wrap="around" w:vAnchor="text" w:hAnchor="margin" w:xAlign="right" w:y="1"/>
      <w:rPr>
        <w:rStyle w:val="Oldalszm"/>
      </w:rPr>
    </w:pPr>
    <w:r>
      <w:rPr>
        <w:rStyle w:val="Oldalszm"/>
      </w:rPr>
      <w:fldChar w:fldCharType="begin"/>
    </w:r>
    <w:r w:rsidR="00BB4CA7">
      <w:rPr>
        <w:rStyle w:val="Oldalszm"/>
      </w:rPr>
      <w:instrText xml:space="preserve">PAGE  </w:instrText>
    </w:r>
    <w:r>
      <w:rPr>
        <w:rStyle w:val="Oldalszm"/>
      </w:rPr>
      <w:fldChar w:fldCharType="end"/>
    </w:r>
  </w:p>
  <w:p w:rsidR="00BB4CA7" w:rsidRDefault="00BB4CA7" w:rsidP="003160C4">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CA7" w:rsidRDefault="000A599C" w:rsidP="00B97645">
    <w:pPr>
      <w:pStyle w:val="llb"/>
      <w:framePr w:wrap="around" w:vAnchor="text" w:hAnchor="margin" w:xAlign="right" w:y="1"/>
      <w:rPr>
        <w:rStyle w:val="Oldalszm"/>
      </w:rPr>
    </w:pPr>
    <w:r>
      <w:rPr>
        <w:rStyle w:val="Oldalszm"/>
      </w:rPr>
      <w:fldChar w:fldCharType="begin"/>
    </w:r>
    <w:r w:rsidR="00BB4CA7">
      <w:rPr>
        <w:rStyle w:val="Oldalszm"/>
      </w:rPr>
      <w:instrText xml:space="preserve">PAGE  </w:instrText>
    </w:r>
    <w:r>
      <w:rPr>
        <w:rStyle w:val="Oldalszm"/>
      </w:rPr>
      <w:fldChar w:fldCharType="separate"/>
    </w:r>
    <w:r w:rsidR="001123E9">
      <w:rPr>
        <w:rStyle w:val="Oldalszm"/>
        <w:noProof/>
      </w:rPr>
      <w:t>5</w:t>
    </w:r>
    <w:r>
      <w:rPr>
        <w:rStyle w:val="Oldalszm"/>
      </w:rPr>
      <w:fldChar w:fldCharType="end"/>
    </w:r>
  </w:p>
  <w:p w:rsidR="00BB4CA7" w:rsidRDefault="00BB4CA7" w:rsidP="003160C4">
    <w:pPr>
      <w:pStyle w:val="ll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AE4" w:rsidRDefault="00077AE4" w:rsidP="003160C4">
      <w:pPr>
        <w:spacing w:after="0"/>
      </w:pPr>
      <w:r>
        <w:separator/>
      </w:r>
    </w:p>
  </w:footnote>
  <w:footnote w:type="continuationSeparator" w:id="0">
    <w:p w:rsidR="00077AE4" w:rsidRDefault="00077AE4" w:rsidP="003160C4">
      <w:pPr>
        <w:spacing w:after="0"/>
      </w:pPr>
      <w:r>
        <w:continuationSeparator/>
      </w:r>
    </w:p>
  </w:footnote>
  <w:footnote w:type="continuationNotice" w:id="1">
    <w:p w:rsidR="00077AE4" w:rsidRDefault="00077AE4">
      <w:pPr>
        <w:spacing w:after="0"/>
      </w:pPr>
    </w:p>
  </w:footnote>
  <w:footnote w:id="2">
    <w:p w:rsidR="00915027" w:rsidRDefault="00915027">
      <w:pPr>
        <w:pStyle w:val="Lbjegyzetszveg"/>
      </w:pPr>
      <w:r>
        <w:rPr>
          <w:rStyle w:val="Lbjegyzet-hivatkozs"/>
        </w:rPr>
        <w:footnoteRef/>
      </w:r>
      <w:r>
        <w:t xml:space="preserve"> 2016. augusztus 31. után szervezett minősítő vizsgák tananyaga.</w:t>
      </w:r>
    </w:p>
  </w:footnote>
  <w:footnote w:id="3">
    <w:p w:rsidR="00915027" w:rsidRDefault="00915027">
      <w:pPr>
        <w:pStyle w:val="Lbjegyzetszveg"/>
      </w:pPr>
      <w:r>
        <w:rPr>
          <w:rStyle w:val="Lbjegyzet-hivatkozs"/>
        </w:rPr>
        <w:footnoteRef/>
      </w:r>
      <w:r>
        <w:t xml:space="preserve"> </w:t>
      </w:r>
      <w:r w:rsidRPr="00915027">
        <w:t>2016. augusztus 31. után szervezett minősítő vizsgák tananyaga.</w:t>
      </w:r>
    </w:p>
  </w:footnote>
  <w:footnote w:id="4">
    <w:p w:rsidR="00915027" w:rsidRDefault="00915027">
      <w:pPr>
        <w:pStyle w:val="Lbjegyzetszveg"/>
      </w:pPr>
      <w:r>
        <w:rPr>
          <w:rStyle w:val="Lbjegyzet-hivatkozs"/>
        </w:rPr>
        <w:footnoteRef/>
      </w:r>
      <w:r>
        <w:t xml:space="preserve"> </w:t>
      </w:r>
      <w:r w:rsidRPr="00915027">
        <w:t>2016. augusztus 31. után szervezett minősítő vizsgák tananyaga.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F0A67"/>
    <w:multiLevelType w:val="hybridMultilevel"/>
    <w:tmpl w:val="9896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C465C"/>
    <w:multiLevelType w:val="hybridMultilevel"/>
    <w:tmpl w:val="0E0C29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A5BC1"/>
    <w:multiLevelType w:val="hybridMultilevel"/>
    <w:tmpl w:val="842CEE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879F2"/>
    <w:multiLevelType w:val="hybridMultilevel"/>
    <w:tmpl w:val="AB42930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FD90F2F"/>
    <w:multiLevelType w:val="multilevel"/>
    <w:tmpl w:val="5D70FB6E"/>
    <w:lvl w:ilvl="0">
      <w:start w:val="1"/>
      <w:numFmt w:val="decimal"/>
      <w:pStyle w:val="Cmsor1"/>
      <w:lvlText w:val="%1."/>
      <w:lvlJc w:val="left"/>
      <w:pPr>
        <w:ind w:left="432" w:hanging="432"/>
      </w:pPr>
      <w:rPr>
        <w:rFonts w:cs="Times New Roman" w:hint="default"/>
      </w:rPr>
    </w:lvl>
    <w:lvl w:ilvl="1">
      <w:start w:val="1"/>
      <w:numFmt w:val="decimal"/>
      <w:pStyle w:val="Cmsor2"/>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
    <w:nsid w:val="2DCD507A"/>
    <w:multiLevelType w:val="hybridMultilevel"/>
    <w:tmpl w:val="AB42930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E9A0F46"/>
    <w:multiLevelType w:val="multilevel"/>
    <w:tmpl w:val="7084ED98"/>
    <w:lvl w:ilvl="0">
      <w:start w:val="1"/>
      <w:numFmt w:val="decimal"/>
      <w:lvlText w:val="%1."/>
      <w:lvlJc w:val="left"/>
      <w:pPr>
        <w:ind w:left="432" w:hanging="432"/>
      </w:pPr>
      <w:rPr>
        <w:rFonts w:cs="Times New Roman" w:hint="default"/>
      </w:rPr>
    </w:lvl>
    <w:lvl w:ilvl="1">
      <w:start w:val="1"/>
      <w:numFmt w:val="decimal"/>
      <w:pStyle w:val="Alpont1"/>
      <w:lvlText w:val="%1.%2."/>
      <w:lvlJc w:val="left"/>
      <w:pPr>
        <w:ind w:left="576" w:hanging="576"/>
      </w:pPr>
      <w:rPr>
        <w:rFonts w:cs="Times New Roman" w:hint="default"/>
      </w:rPr>
    </w:lvl>
    <w:lvl w:ilvl="2">
      <w:start w:val="1"/>
      <w:numFmt w:val="decimal"/>
      <w:pStyle w:val="Alpont2"/>
      <w:lvlText w:val="%1.%2.%3."/>
      <w:lvlJc w:val="left"/>
      <w:pPr>
        <w:ind w:left="720" w:hanging="720"/>
      </w:pPr>
      <w:rPr>
        <w:rFonts w:cs="Times New Roman" w:hint="default"/>
      </w:rPr>
    </w:lvl>
    <w:lvl w:ilvl="3">
      <w:start w:val="1"/>
      <w:numFmt w:val="decimal"/>
      <w:pStyle w:val="Style1"/>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7">
    <w:nsid w:val="48856292"/>
    <w:multiLevelType w:val="multilevel"/>
    <w:tmpl w:val="14566B2C"/>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8">
    <w:nsid w:val="6E46336A"/>
    <w:multiLevelType w:val="hybridMultilevel"/>
    <w:tmpl w:val="58C61F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FA2F27"/>
    <w:multiLevelType w:val="hybridMultilevel"/>
    <w:tmpl w:val="AB42930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7"/>
  </w:num>
  <w:num w:numId="2">
    <w:abstractNumId w:val="4"/>
  </w:num>
  <w:num w:numId="3">
    <w:abstractNumId w:val="6"/>
  </w:num>
  <w:num w:numId="4">
    <w:abstractNumId w:val="6"/>
  </w:num>
  <w:num w:numId="5">
    <w:abstractNumId w:val="6"/>
  </w:num>
  <w:num w:numId="6">
    <w:abstractNumId w:val="0"/>
  </w:num>
  <w:num w:numId="7">
    <w:abstractNumId w:val="8"/>
  </w:num>
  <w:num w:numId="8">
    <w:abstractNumId w:val="1"/>
  </w:num>
  <w:num w:numId="9">
    <w:abstractNumId w:val="2"/>
  </w:num>
  <w:num w:numId="10">
    <w:abstractNumId w:val="5"/>
  </w:num>
  <w:num w:numId="11">
    <w:abstractNumId w:val="9"/>
  </w:num>
  <w:num w:numId="1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darasinesza">
    <w15:presenceInfo w15:providerId="None" w15:userId="madarasinesza"/>
  </w15:person>
  <w15:person w15:author="Csaba Adorjan">
    <w15:presenceInfo w15:providerId="AD" w15:userId="S-1-5-21-1957994488-1606980848-682003330-836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185FA8"/>
    <w:rsid w:val="00001996"/>
    <w:rsid w:val="00024F06"/>
    <w:rsid w:val="00077AE4"/>
    <w:rsid w:val="000879A1"/>
    <w:rsid w:val="000A599C"/>
    <w:rsid w:val="000C6567"/>
    <w:rsid w:val="00104378"/>
    <w:rsid w:val="001123E9"/>
    <w:rsid w:val="00136146"/>
    <w:rsid w:val="0013671D"/>
    <w:rsid w:val="001453AE"/>
    <w:rsid w:val="001708D4"/>
    <w:rsid w:val="00185FA8"/>
    <w:rsid w:val="001928EF"/>
    <w:rsid w:val="001D665A"/>
    <w:rsid w:val="001F0EE5"/>
    <w:rsid w:val="002367F7"/>
    <w:rsid w:val="002568FB"/>
    <w:rsid w:val="0025752E"/>
    <w:rsid w:val="002648F4"/>
    <w:rsid w:val="0026689E"/>
    <w:rsid w:val="0027701B"/>
    <w:rsid w:val="00310518"/>
    <w:rsid w:val="003160C4"/>
    <w:rsid w:val="00350117"/>
    <w:rsid w:val="00373718"/>
    <w:rsid w:val="00392C2E"/>
    <w:rsid w:val="003A6F1F"/>
    <w:rsid w:val="003B45E0"/>
    <w:rsid w:val="00413E9D"/>
    <w:rsid w:val="00484489"/>
    <w:rsid w:val="004B73E9"/>
    <w:rsid w:val="00567DFA"/>
    <w:rsid w:val="005A1AE0"/>
    <w:rsid w:val="005A2B1A"/>
    <w:rsid w:val="0063003A"/>
    <w:rsid w:val="00636B80"/>
    <w:rsid w:val="00637273"/>
    <w:rsid w:val="00655882"/>
    <w:rsid w:val="00673635"/>
    <w:rsid w:val="006738CB"/>
    <w:rsid w:val="006857E6"/>
    <w:rsid w:val="006C1BD3"/>
    <w:rsid w:val="006D2CBC"/>
    <w:rsid w:val="006E2535"/>
    <w:rsid w:val="006F2061"/>
    <w:rsid w:val="0077779A"/>
    <w:rsid w:val="007D212F"/>
    <w:rsid w:val="00814CF9"/>
    <w:rsid w:val="00836AD6"/>
    <w:rsid w:val="00867C04"/>
    <w:rsid w:val="00872F2E"/>
    <w:rsid w:val="008D0FDB"/>
    <w:rsid w:val="008E1774"/>
    <w:rsid w:val="008F5C22"/>
    <w:rsid w:val="009129BF"/>
    <w:rsid w:val="00915027"/>
    <w:rsid w:val="0096529C"/>
    <w:rsid w:val="009A6777"/>
    <w:rsid w:val="00A1167C"/>
    <w:rsid w:val="00A37ACC"/>
    <w:rsid w:val="00A56A1B"/>
    <w:rsid w:val="00A8593B"/>
    <w:rsid w:val="00AB2AD7"/>
    <w:rsid w:val="00AF681E"/>
    <w:rsid w:val="00B00266"/>
    <w:rsid w:val="00B15111"/>
    <w:rsid w:val="00B26EE0"/>
    <w:rsid w:val="00B97645"/>
    <w:rsid w:val="00BB4CA7"/>
    <w:rsid w:val="00BC0D3D"/>
    <w:rsid w:val="00C252D3"/>
    <w:rsid w:val="00C930C4"/>
    <w:rsid w:val="00CC4BD6"/>
    <w:rsid w:val="00D16E89"/>
    <w:rsid w:val="00D33B68"/>
    <w:rsid w:val="00D51348"/>
    <w:rsid w:val="00E01CC6"/>
    <w:rsid w:val="00E41132"/>
    <w:rsid w:val="00E932E3"/>
    <w:rsid w:val="00EB3F3E"/>
    <w:rsid w:val="00EC0DA3"/>
    <w:rsid w:val="00EC593C"/>
    <w:rsid w:val="00EE1FAD"/>
    <w:rsid w:val="00F02254"/>
    <w:rsid w:val="00F34628"/>
    <w:rsid w:val="00F437C3"/>
    <w:rsid w:val="00F60B75"/>
    <w:rsid w:val="00F67F38"/>
    <w:rsid w:val="00F838FA"/>
    <w:rsid w:val="00F86CDD"/>
    <w:rsid w:val="00F975F5"/>
    <w:rsid w:val="00FA5EED"/>
    <w:rsid w:val="00FC4B6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lsdException w:name="caption" w:locked="1" w:uiPriority="0" w:qFormat="1"/>
    <w:lsdException w:name="Title" w:locked="1" w:semiHidden="0" w:uiPriority="0" w:unhideWhenUsed="0" w:qFormat="1"/>
    <w:lsdException w:name="Default Paragraph Font" w:locked="1" w:semiHidden="0"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F681E"/>
    <w:pPr>
      <w:spacing w:after="200"/>
      <w:jc w:val="both"/>
    </w:pPr>
    <w:rPr>
      <w:rFonts w:ascii="Calibri" w:hAnsi="Calibri"/>
      <w:sz w:val="24"/>
      <w:szCs w:val="24"/>
      <w:lang w:eastAsia="ja-JP"/>
    </w:rPr>
  </w:style>
  <w:style w:type="paragraph" w:styleId="Cmsor1">
    <w:name w:val="heading 1"/>
    <w:basedOn w:val="Norml"/>
    <w:next w:val="Norml"/>
    <w:link w:val="Cmsor1Char"/>
    <w:uiPriority w:val="99"/>
    <w:qFormat/>
    <w:rsid w:val="00136146"/>
    <w:pPr>
      <w:numPr>
        <w:numId w:val="2"/>
      </w:numPr>
      <w:spacing w:before="240" w:after="60"/>
      <w:outlineLvl w:val="0"/>
    </w:pPr>
    <w:rPr>
      <w:b/>
      <w:bCs/>
      <w:kern w:val="32"/>
      <w:sz w:val="32"/>
      <w:szCs w:val="32"/>
    </w:rPr>
  </w:style>
  <w:style w:type="paragraph" w:styleId="Cmsor2">
    <w:name w:val="heading 2"/>
    <w:basedOn w:val="Norml"/>
    <w:next w:val="Norml"/>
    <w:link w:val="Cmsor2Char"/>
    <w:uiPriority w:val="99"/>
    <w:qFormat/>
    <w:rsid w:val="004B73E9"/>
    <w:pPr>
      <w:keepNext/>
      <w:numPr>
        <w:ilvl w:val="1"/>
        <w:numId w:val="2"/>
      </w:numPr>
      <w:spacing w:before="240" w:after="60"/>
      <w:outlineLvl w:val="1"/>
    </w:pPr>
    <w:rPr>
      <w:rFonts w:ascii="Geneva CE" w:hAnsi="Geneva CE"/>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136146"/>
    <w:rPr>
      <w:rFonts w:ascii="Gill Sans MT" w:hAnsi="Gill Sans MT" w:cs="Times New Roman"/>
      <w:b/>
      <w:bCs/>
      <w:kern w:val="32"/>
      <w:sz w:val="32"/>
      <w:szCs w:val="32"/>
      <w:lang w:val="hu-HU" w:eastAsia="hu-HU"/>
    </w:rPr>
  </w:style>
  <w:style w:type="character" w:customStyle="1" w:styleId="Cmsor2Char">
    <w:name w:val="Címsor 2 Char"/>
    <w:link w:val="Cmsor2"/>
    <w:uiPriority w:val="99"/>
    <w:locked/>
    <w:rsid w:val="004B73E9"/>
    <w:rPr>
      <w:rFonts w:ascii="Geneva CE" w:hAnsi="Geneva CE" w:cs="Times New Roman"/>
      <w:b/>
      <w:bCs/>
      <w:i/>
      <w:iCs/>
      <w:sz w:val="28"/>
      <w:szCs w:val="28"/>
      <w:lang w:val="hu-HU" w:eastAsia="hu-HU"/>
    </w:rPr>
  </w:style>
  <w:style w:type="paragraph" w:customStyle="1" w:styleId="Aprbets">
    <w:name w:val="Apróbetűs"/>
    <w:basedOn w:val="Norml"/>
    <w:uiPriority w:val="99"/>
    <w:rsid w:val="005A2B1A"/>
    <w:pPr>
      <w:spacing w:after="0" w:line="288" w:lineRule="auto"/>
      <w:ind w:left="567"/>
    </w:pPr>
    <w:rPr>
      <w:i/>
      <w:sz w:val="18"/>
      <w:szCs w:val="18"/>
    </w:rPr>
  </w:style>
  <w:style w:type="paragraph" w:customStyle="1" w:styleId="Fejezetcme">
    <w:name w:val="Fejezet címe"/>
    <w:basedOn w:val="Cmsor1"/>
    <w:link w:val="FejezetcmeChar"/>
    <w:uiPriority w:val="99"/>
    <w:rsid w:val="005A2B1A"/>
    <w:pPr>
      <w:numPr>
        <w:numId w:val="0"/>
      </w:numPr>
      <w:spacing w:before="200" w:after="0" w:line="288" w:lineRule="auto"/>
    </w:pPr>
    <w:rPr>
      <w:sz w:val="40"/>
      <w:szCs w:val="40"/>
    </w:rPr>
  </w:style>
  <w:style w:type="character" w:customStyle="1" w:styleId="FejezetcmeChar">
    <w:name w:val="Fejezet címe Char"/>
    <w:link w:val="Fejezetcme"/>
    <w:uiPriority w:val="99"/>
    <w:locked/>
    <w:rsid w:val="005A2B1A"/>
    <w:rPr>
      <w:rFonts w:ascii="Calibri" w:hAnsi="Calibri" w:cs="Times New Roman"/>
      <w:b/>
      <w:bCs/>
      <w:kern w:val="32"/>
      <w:sz w:val="40"/>
      <w:szCs w:val="40"/>
      <w:lang w:val="hu-HU" w:eastAsia="hu-HU"/>
    </w:rPr>
  </w:style>
  <w:style w:type="paragraph" w:customStyle="1" w:styleId="Alpont1">
    <w:name w:val="Alpont 1"/>
    <w:basedOn w:val="Listaszerbekezds"/>
    <w:uiPriority w:val="99"/>
    <w:rsid w:val="00A1167C"/>
    <w:pPr>
      <w:numPr>
        <w:ilvl w:val="1"/>
        <w:numId w:val="5"/>
      </w:numPr>
      <w:spacing w:before="120" w:after="120" w:line="288" w:lineRule="auto"/>
    </w:pPr>
    <w:rPr>
      <w:i/>
      <w:sz w:val="30"/>
      <w:szCs w:val="28"/>
    </w:rPr>
  </w:style>
  <w:style w:type="paragraph" w:styleId="Listaszerbekezds">
    <w:name w:val="List Paragraph"/>
    <w:basedOn w:val="Norml"/>
    <w:uiPriority w:val="99"/>
    <w:qFormat/>
    <w:rsid w:val="005A2B1A"/>
    <w:pPr>
      <w:ind w:left="720"/>
      <w:contextualSpacing/>
    </w:pPr>
  </w:style>
  <w:style w:type="paragraph" w:customStyle="1" w:styleId="Alpont2">
    <w:name w:val="Alpont 2"/>
    <w:basedOn w:val="Listaszerbekezds"/>
    <w:uiPriority w:val="99"/>
    <w:rsid w:val="00A1167C"/>
    <w:pPr>
      <w:numPr>
        <w:ilvl w:val="2"/>
        <w:numId w:val="5"/>
      </w:numPr>
      <w:spacing w:before="120" w:after="240" w:line="288" w:lineRule="auto"/>
    </w:pPr>
    <w:rPr>
      <w:sz w:val="26"/>
      <w:szCs w:val="26"/>
    </w:rPr>
  </w:style>
  <w:style w:type="paragraph" w:customStyle="1" w:styleId="Illusztratvplda">
    <w:name w:val="Illusztratív példa"/>
    <w:basedOn w:val="Norml"/>
    <w:uiPriority w:val="99"/>
    <w:rsid w:val="005A2B1A"/>
    <w:pPr>
      <w:spacing w:after="0" w:line="288" w:lineRule="auto"/>
      <w:ind w:left="426" w:right="645"/>
    </w:pPr>
    <w:rPr>
      <w:rFonts w:cs="Arial"/>
      <w:smallCaps/>
      <w:sz w:val="18"/>
      <w:szCs w:val="18"/>
    </w:rPr>
  </w:style>
  <w:style w:type="paragraph" w:customStyle="1" w:styleId="Lbjegyzet">
    <w:name w:val="Lábjegyzet"/>
    <w:basedOn w:val="Lbjegyzetszveg"/>
    <w:link w:val="LbjegyzetChar"/>
    <w:uiPriority w:val="99"/>
    <w:rsid w:val="005A2B1A"/>
    <w:rPr>
      <w:sz w:val="18"/>
      <w:szCs w:val="18"/>
    </w:rPr>
  </w:style>
  <w:style w:type="character" w:customStyle="1" w:styleId="LbjegyzetChar">
    <w:name w:val="Lábjegyzet Char"/>
    <w:link w:val="Lbjegyzet"/>
    <w:uiPriority w:val="99"/>
    <w:locked/>
    <w:rsid w:val="005A2B1A"/>
    <w:rPr>
      <w:rFonts w:ascii="Calibri" w:hAnsi="Calibri" w:cs="Times New Roman"/>
      <w:sz w:val="18"/>
      <w:szCs w:val="18"/>
      <w:lang w:val="hu-HU"/>
    </w:rPr>
  </w:style>
  <w:style w:type="paragraph" w:styleId="Lbjegyzetszveg">
    <w:name w:val="footnote text"/>
    <w:basedOn w:val="Norml"/>
    <w:link w:val="LbjegyzetszvegChar"/>
    <w:uiPriority w:val="99"/>
    <w:semiHidden/>
    <w:rsid w:val="005A2B1A"/>
    <w:pPr>
      <w:spacing w:after="0"/>
    </w:pPr>
  </w:style>
  <w:style w:type="character" w:customStyle="1" w:styleId="LbjegyzetszvegChar">
    <w:name w:val="Lábjegyzetszöveg Char"/>
    <w:link w:val="Lbjegyzetszveg"/>
    <w:uiPriority w:val="99"/>
    <w:semiHidden/>
    <w:locked/>
    <w:rsid w:val="005A2B1A"/>
    <w:rPr>
      <w:rFonts w:ascii="Calibri" w:hAnsi="Calibri" w:cs="Times New Roman"/>
      <w:lang w:val="hu-HU"/>
    </w:rPr>
  </w:style>
  <w:style w:type="paragraph" w:customStyle="1" w:styleId="TKszveges">
    <w:name w:val="TK szöveges"/>
    <w:basedOn w:val="Norml"/>
    <w:uiPriority w:val="99"/>
    <w:rsid w:val="005A2B1A"/>
    <w:pPr>
      <w:tabs>
        <w:tab w:val="left" w:pos="567"/>
        <w:tab w:val="left" w:pos="1134"/>
        <w:tab w:val="decimal" w:pos="6237"/>
        <w:tab w:val="decimal" w:pos="7088"/>
      </w:tabs>
      <w:spacing w:after="0" w:line="288" w:lineRule="auto"/>
    </w:pPr>
    <w:rPr>
      <w:sz w:val="22"/>
    </w:rPr>
  </w:style>
  <w:style w:type="paragraph" w:customStyle="1" w:styleId="Style1">
    <w:name w:val="Style1"/>
    <w:basedOn w:val="Alpont2"/>
    <w:uiPriority w:val="99"/>
    <w:rsid w:val="00A1167C"/>
    <w:pPr>
      <w:numPr>
        <w:ilvl w:val="3"/>
      </w:numPr>
    </w:pPr>
    <w:rPr>
      <w:sz w:val="24"/>
    </w:rPr>
  </w:style>
  <w:style w:type="paragraph" w:customStyle="1" w:styleId="bra">
    <w:name w:val="Ábra"/>
    <w:basedOn w:val="Norml"/>
    <w:autoRedefine/>
    <w:uiPriority w:val="99"/>
    <w:rsid w:val="00A1167C"/>
    <w:pPr>
      <w:spacing w:after="0" w:line="288" w:lineRule="auto"/>
      <w:jc w:val="center"/>
    </w:pPr>
    <w:rPr>
      <w:sz w:val="18"/>
      <w:szCs w:val="18"/>
    </w:rPr>
  </w:style>
  <w:style w:type="paragraph" w:styleId="NormlWeb">
    <w:name w:val="Normal (Web)"/>
    <w:basedOn w:val="Norml"/>
    <w:uiPriority w:val="99"/>
    <w:rsid w:val="00185FA8"/>
    <w:pPr>
      <w:spacing w:before="100" w:beforeAutospacing="1" w:after="100" w:afterAutospacing="1"/>
      <w:jc w:val="left"/>
    </w:pPr>
    <w:rPr>
      <w:rFonts w:ascii="Times New Roman" w:hAnsi="Times New Roman"/>
      <w:lang w:eastAsia="hu-HU"/>
    </w:rPr>
  </w:style>
  <w:style w:type="table" w:styleId="Rcsostblzat">
    <w:name w:val="Table Grid"/>
    <w:basedOn w:val="Normltblzat"/>
    <w:uiPriority w:val="99"/>
    <w:rsid w:val="002668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lb">
    <w:name w:val="footer"/>
    <w:basedOn w:val="Norml"/>
    <w:link w:val="llbChar"/>
    <w:uiPriority w:val="99"/>
    <w:rsid w:val="003160C4"/>
    <w:pPr>
      <w:tabs>
        <w:tab w:val="center" w:pos="4320"/>
        <w:tab w:val="right" w:pos="8640"/>
      </w:tabs>
      <w:spacing w:after="0"/>
    </w:pPr>
  </w:style>
  <w:style w:type="character" w:customStyle="1" w:styleId="llbChar">
    <w:name w:val="Élőláb Char"/>
    <w:link w:val="llb"/>
    <w:uiPriority w:val="99"/>
    <w:locked/>
    <w:rsid w:val="003160C4"/>
    <w:rPr>
      <w:rFonts w:ascii="Calibri" w:hAnsi="Calibri" w:cs="Times New Roman"/>
      <w:lang w:val="hu-HU"/>
    </w:rPr>
  </w:style>
  <w:style w:type="character" w:styleId="Oldalszm">
    <w:name w:val="page number"/>
    <w:uiPriority w:val="99"/>
    <w:semiHidden/>
    <w:rsid w:val="003160C4"/>
    <w:rPr>
      <w:rFonts w:cs="Times New Roman"/>
    </w:rPr>
  </w:style>
  <w:style w:type="paragraph" w:styleId="lfej">
    <w:name w:val="header"/>
    <w:basedOn w:val="Norml"/>
    <w:link w:val="lfejChar"/>
    <w:uiPriority w:val="99"/>
    <w:semiHidden/>
    <w:rsid w:val="00637273"/>
    <w:pPr>
      <w:tabs>
        <w:tab w:val="center" w:pos="4536"/>
        <w:tab w:val="right" w:pos="9072"/>
      </w:tabs>
      <w:spacing w:after="0"/>
      <w:jc w:val="left"/>
    </w:pPr>
    <w:rPr>
      <w:rFonts w:ascii="Times New Roman" w:hAnsi="Times New Roman"/>
      <w:lang w:eastAsia="hu-HU"/>
    </w:rPr>
  </w:style>
  <w:style w:type="character" w:customStyle="1" w:styleId="lfejChar">
    <w:name w:val="Élőfej Char"/>
    <w:link w:val="lfej"/>
    <w:uiPriority w:val="99"/>
    <w:semiHidden/>
    <w:locked/>
    <w:rsid w:val="00637273"/>
    <w:rPr>
      <w:rFonts w:ascii="Times New Roman" w:hAnsi="Times New Roman" w:cs="Times New Roman"/>
      <w:lang w:val="hu-HU" w:eastAsia="hu-HU"/>
    </w:rPr>
  </w:style>
  <w:style w:type="character" w:styleId="Kiemels2">
    <w:name w:val="Strong"/>
    <w:uiPriority w:val="99"/>
    <w:qFormat/>
    <w:rsid w:val="00637273"/>
    <w:rPr>
      <w:rFonts w:cs="Times New Roman"/>
      <w:b/>
      <w:bCs/>
    </w:rPr>
  </w:style>
  <w:style w:type="paragraph" w:styleId="Buborkszveg">
    <w:name w:val="Balloon Text"/>
    <w:basedOn w:val="Norml"/>
    <w:link w:val="BuborkszvegChar"/>
    <w:uiPriority w:val="99"/>
    <w:semiHidden/>
    <w:unhideWhenUsed/>
    <w:rsid w:val="00AB2AD7"/>
    <w:pPr>
      <w:spacing w:after="0"/>
    </w:pPr>
    <w:rPr>
      <w:rFonts w:ascii="Tahoma" w:hAnsi="Tahoma" w:cs="Tahoma"/>
      <w:sz w:val="16"/>
      <w:szCs w:val="16"/>
    </w:rPr>
  </w:style>
  <w:style w:type="character" w:customStyle="1" w:styleId="BuborkszvegChar">
    <w:name w:val="Buborékszöveg Char"/>
    <w:link w:val="Buborkszveg"/>
    <w:uiPriority w:val="99"/>
    <w:semiHidden/>
    <w:rsid w:val="00AB2AD7"/>
    <w:rPr>
      <w:rFonts w:ascii="Tahoma" w:hAnsi="Tahoma" w:cs="Tahoma"/>
      <w:sz w:val="16"/>
      <w:szCs w:val="16"/>
      <w:lang w:eastAsia="ja-JP"/>
    </w:rPr>
  </w:style>
  <w:style w:type="character" w:styleId="Jegyzethivatkozs">
    <w:name w:val="annotation reference"/>
    <w:uiPriority w:val="99"/>
    <w:semiHidden/>
    <w:unhideWhenUsed/>
    <w:rsid w:val="00001996"/>
    <w:rPr>
      <w:sz w:val="16"/>
      <w:szCs w:val="16"/>
    </w:rPr>
  </w:style>
  <w:style w:type="paragraph" w:styleId="Jegyzetszveg">
    <w:name w:val="annotation text"/>
    <w:basedOn w:val="Norml"/>
    <w:link w:val="JegyzetszvegChar"/>
    <w:uiPriority w:val="99"/>
    <w:semiHidden/>
    <w:unhideWhenUsed/>
    <w:rsid w:val="00001996"/>
    <w:rPr>
      <w:sz w:val="20"/>
      <w:szCs w:val="20"/>
    </w:rPr>
  </w:style>
  <w:style w:type="character" w:customStyle="1" w:styleId="JegyzetszvegChar">
    <w:name w:val="Jegyzetszöveg Char"/>
    <w:link w:val="Jegyzetszveg"/>
    <w:uiPriority w:val="99"/>
    <w:semiHidden/>
    <w:rsid w:val="00001996"/>
    <w:rPr>
      <w:rFonts w:ascii="Calibri" w:hAnsi="Calibri"/>
      <w:lang w:eastAsia="ja-JP"/>
    </w:rPr>
  </w:style>
  <w:style w:type="paragraph" w:styleId="Megjegyzstrgya">
    <w:name w:val="annotation subject"/>
    <w:basedOn w:val="Jegyzetszveg"/>
    <w:next w:val="Jegyzetszveg"/>
    <w:link w:val="MegjegyzstrgyaChar"/>
    <w:uiPriority w:val="99"/>
    <w:semiHidden/>
    <w:unhideWhenUsed/>
    <w:rsid w:val="00001996"/>
    <w:rPr>
      <w:b/>
      <w:bCs/>
    </w:rPr>
  </w:style>
  <w:style w:type="character" w:customStyle="1" w:styleId="MegjegyzstrgyaChar">
    <w:name w:val="Megjegyzés tárgya Char"/>
    <w:link w:val="Megjegyzstrgya"/>
    <w:uiPriority w:val="99"/>
    <w:semiHidden/>
    <w:rsid w:val="00001996"/>
    <w:rPr>
      <w:rFonts w:ascii="Calibri" w:hAnsi="Calibri"/>
      <w:b/>
      <w:bCs/>
      <w:lang w:eastAsia="ja-JP"/>
    </w:rPr>
  </w:style>
  <w:style w:type="character" w:styleId="Lbjegyzet-hivatkozs">
    <w:name w:val="footnote reference"/>
    <w:basedOn w:val="Bekezdsalapbettpusa"/>
    <w:uiPriority w:val="99"/>
    <w:semiHidden/>
    <w:unhideWhenUsed/>
    <w:rsid w:val="00915027"/>
    <w:rPr>
      <w:vertAlign w:val="superscript"/>
    </w:rPr>
  </w:style>
</w:styles>
</file>

<file path=word/webSettings.xml><?xml version="1.0" encoding="utf-8"?>
<w:webSettings xmlns:r="http://schemas.openxmlformats.org/officeDocument/2006/relationships" xmlns:w="http://schemas.openxmlformats.org/wordprocessingml/2006/main">
  <w:divs>
    <w:div w:id="7745941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commentsExtended" Target="commentsExtended.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E1BDA-09DF-4931-9D65-2E9AD2A9F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1421</Words>
  <Characters>11220</Characters>
  <Application>Microsoft Office Word</Application>
  <DocSecurity>0</DocSecurity>
  <Lines>93</Lines>
  <Paragraphs>25</Paragraphs>
  <ScaleCrop>false</ScaleCrop>
  <HeadingPairs>
    <vt:vector size="2" baseType="variant">
      <vt:variant>
        <vt:lpstr>Cím</vt:lpstr>
      </vt:variant>
      <vt:variant>
        <vt:i4>1</vt:i4>
      </vt:variant>
    </vt:vector>
  </HeadingPairs>
  <TitlesOfParts>
    <vt:vector size="1" baseType="lpstr">
      <vt:lpstr>1</vt:lpstr>
    </vt:vector>
  </TitlesOfParts>
  <Company>Magyar Nemzeti Bank</Company>
  <LinksUpToDate>false</LinksUpToDate>
  <CharactersWithSpaces>12616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László Péter Lakatos</dc:creator>
  <cp:lastModifiedBy>fkrisztina</cp:lastModifiedBy>
  <cp:revision>2</cp:revision>
  <cp:lastPrinted>2015-12-14T14:46:00Z</cp:lastPrinted>
  <dcterms:created xsi:type="dcterms:W3CDTF">2016-01-14T15:40:00Z</dcterms:created>
  <dcterms:modified xsi:type="dcterms:W3CDTF">2016-01-14T15:40:00Z</dcterms:modified>
</cp:coreProperties>
</file>