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D7" w:rsidRPr="00925B28" w:rsidRDefault="006D43D3" w:rsidP="006D43D3">
      <w:pPr>
        <w:overflowPunct w:val="0"/>
        <w:autoSpaceDE w:val="0"/>
        <w:autoSpaceDN w:val="0"/>
        <w:adjustRightInd w:val="0"/>
        <w:spacing w:after="0" w:line="240" w:lineRule="auto"/>
        <w:ind w:left="567" w:right="56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25B28">
        <w:rPr>
          <w:rFonts w:ascii="Times New Roman" w:hAnsi="Times New Roman"/>
          <w:sz w:val="24"/>
          <w:szCs w:val="24"/>
          <w:lang w:val="x-none"/>
        </w:rPr>
        <w:t xml:space="preserve">Jelen hirdetmény azon </w:t>
      </w:r>
      <w:r w:rsidR="005A567B" w:rsidRPr="00925B28">
        <w:rPr>
          <w:rFonts w:ascii="Times New Roman" w:hAnsi="Times New Roman"/>
          <w:sz w:val="24"/>
          <w:szCs w:val="24"/>
        </w:rPr>
        <w:t>szakszervezeti tag ügyfelek</w:t>
      </w:r>
      <w:r w:rsidR="005A567B" w:rsidRPr="00925B28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925B28">
        <w:rPr>
          <w:rFonts w:ascii="Times New Roman" w:hAnsi="Times New Roman"/>
          <w:sz w:val="24"/>
          <w:szCs w:val="24"/>
          <w:lang w:val="x-none"/>
        </w:rPr>
        <w:t xml:space="preserve">által igénybe vehető </w:t>
      </w:r>
      <w:r w:rsidRPr="00925B28">
        <w:rPr>
          <w:rFonts w:ascii="Times New Roman" w:hAnsi="Times New Roman"/>
          <w:sz w:val="24"/>
          <w:szCs w:val="24"/>
        </w:rPr>
        <w:t xml:space="preserve">bankszámla és </w:t>
      </w:r>
      <w:r w:rsidRPr="00925B28">
        <w:rPr>
          <w:rFonts w:ascii="Times New Roman" w:hAnsi="Times New Roman"/>
          <w:sz w:val="24"/>
          <w:szCs w:val="24"/>
          <w:lang w:val="x-none"/>
        </w:rPr>
        <w:t xml:space="preserve">számlacsomag kondíciókat és egyéb kedvezményeket tartalmazza, akiknek a </w:t>
      </w:r>
      <w:r w:rsidR="005A567B" w:rsidRPr="00925B28">
        <w:rPr>
          <w:rFonts w:ascii="Times New Roman" w:hAnsi="Times New Roman"/>
          <w:sz w:val="24"/>
          <w:szCs w:val="24"/>
        </w:rPr>
        <w:t>szakszervezete</w:t>
      </w:r>
      <w:r w:rsidR="005A567B" w:rsidRPr="00925B28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925B28">
        <w:rPr>
          <w:rFonts w:ascii="Times New Roman" w:hAnsi="Times New Roman"/>
          <w:sz w:val="24"/>
          <w:szCs w:val="24"/>
          <w:lang w:val="x-none"/>
        </w:rPr>
        <w:t>és az OTP Bank Nyrt. között érvényes együttműködési megállapodás van Munkáltatói Platina ajánlatra vonatkozóan</w:t>
      </w:r>
    </w:p>
    <w:p w:rsidR="006D43D3" w:rsidRPr="00925B28" w:rsidRDefault="006D43D3" w:rsidP="006D43D3">
      <w:pPr>
        <w:overflowPunct w:val="0"/>
        <w:autoSpaceDE w:val="0"/>
        <w:autoSpaceDN w:val="0"/>
        <w:adjustRightInd w:val="0"/>
        <w:spacing w:after="0" w:line="240" w:lineRule="auto"/>
        <w:ind w:left="567" w:right="565"/>
        <w:jc w:val="both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0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017A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AEA" w:rsidRPr="00925B28" w:rsidRDefault="00626AEA" w:rsidP="00B82A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8F78FA" w:rsidRPr="00925B28" w:rsidRDefault="006D43D3" w:rsidP="006D43D3">
            <w:pPr>
              <w:numPr>
                <w:ilvl w:val="0"/>
                <w:numId w:val="20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FOLYÓSZÁMLÁK, SZÁMLACSOMAGOK</w:t>
            </w:r>
            <w:r w:rsidR="00242541" w:rsidRPr="00925B28">
              <w:rPr>
                <w:rFonts w:ascii="Arial" w:hAnsi="Arial" w:cs="Arial"/>
                <w:b/>
                <w:color w:val="00634F"/>
                <w:sz w:val="20"/>
                <w:szCs w:val="20"/>
              </w:rPr>
              <w:t>.</w:t>
            </w:r>
          </w:p>
        </w:tc>
      </w:tr>
      <w:tr w:rsidR="00D017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8FA" w:rsidRPr="00925B28" w:rsidRDefault="008F78FA" w:rsidP="00B82A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680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4D66AF">
            <w:pPr>
              <w:spacing w:before="80" w:after="8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Az együttműködés keretében az OTP Bank Nyrt. az alábbi munkáltatói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bank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számlák, számlacsomagok igénybevételére biztosít lehetőséget:</w:t>
            </w:r>
          </w:p>
          <w:p w:rsidR="006D43D3" w:rsidRPr="00925B28" w:rsidRDefault="006D43D3" w:rsidP="004D66AF">
            <w:pPr>
              <w:numPr>
                <w:ilvl w:val="0"/>
                <w:numId w:val="18"/>
              </w:numPr>
              <w:spacing w:after="0" w:line="240" w:lineRule="auto"/>
              <w:ind w:left="1119" w:right="565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Munkáltatói Jump Számlacsomag</w:t>
            </w:r>
          </w:p>
          <w:p w:rsidR="006D43D3" w:rsidRPr="00925B28" w:rsidRDefault="006D43D3" w:rsidP="004D66AF">
            <w:pPr>
              <w:numPr>
                <w:ilvl w:val="0"/>
                <w:numId w:val="18"/>
              </w:numPr>
              <w:spacing w:after="0" w:line="240" w:lineRule="auto"/>
              <w:ind w:left="1119" w:right="565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Munkáltatói Tempó Számlacsomag</w:t>
            </w:r>
          </w:p>
          <w:p w:rsidR="006D43D3" w:rsidRPr="00925B28" w:rsidRDefault="006D43D3" w:rsidP="004D66AF">
            <w:pPr>
              <w:numPr>
                <w:ilvl w:val="0"/>
                <w:numId w:val="18"/>
              </w:numPr>
              <w:spacing w:after="0" w:line="240" w:lineRule="auto"/>
              <w:ind w:left="1119" w:right="565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Munkáltatói Net Számlacsomag</w:t>
            </w:r>
          </w:p>
          <w:p w:rsidR="006D43D3" w:rsidRPr="00925B28" w:rsidRDefault="006D43D3" w:rsidP="004D66AF">
            <w:pPr>
              <w:numPr>
                <w:ilvl w:val="0"/>
                <w:numId w:val="18"/>
              </w:numPr>
              <w:spacing w:after="0" w:line="240" w:lineRule="auto"/>
              <w:ind w:left="1119" w:right="565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Munkáltatói Prémium Plusz Számlacsomag</w:t>
            </w:r>
          </w:p>
          <w:p w:rsidR="006D43D3" w:rsidRPr="00925B28" w:rsidRDefault="006D43D3" w:rsidP="004D66AF">
            <w:pPr>
              <w:numPr>
                <w:ilvl w:val="0"/>
                <w:numId w:val="18"/>
              </w:numPr>
              <w:spacing w:after="0" w:line="240" w:lineRule="auto"/>
              <w:ind w:left="1119" w:right="565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Munkáltatói Forint folyószámla</w:t>
            </w:r>
          </w:p>
          <w:p w:rsidR="008F78FA" w:rsidRPr="00925B28" w:rsidRDefault="006D43D3" w:rsidP="004D66AF">
            <w:pPr>
              <w:numPr>
                <w:ilvl w:val="0"/>
                <w:numId w:val="18"/>
              </w:numPr>
              <w:spacing w:after="80" w:line="240" w:lineRule="auto"/>
              <w:ind w:left="1117" w:right="56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Munkáltatói Elektronikus Számlacsomag</w:t>
            </w:r>
          </w:p>
        </w:tc>
      </w:tr>
    </w:tbl>
    <w:p w:rsidR="007305C6" w:rsidRPr="00925B28" w:rsidRDefault="007305C6" w:rsidP="00B82AAC">
      <w:pPr>
        <w:spacing w:line="240" w:lineRule="auto"/>
        <w:ind w:right="565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017A0">
        <w:trPr>
          <w:trHeight w:val="143"/>
          <w:tblCellSpacing w:w="0" w:type="dxa"/>
        </w:trPr>
        <w:tc>
          <w:tcPr>
            <w:tcW w:w="10206" w:type="dxa"/>
            <w:vAlign w:val="center"/>
            <w:hideMark/>
          </w:tcPr>
          <w:p w:rsidR="006D43D3" w:rsidRPr="00925B28" w:rsidRDefault="006D43D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257"/>
          <w:tblCellSpacing w:w="0" w:type="dxa"/>
        </w:trPr>
        <w:tc>
          <w:tcPr>
            <w:tcW w:w="10206" w:type="dxa"/>
            <w:shd w:val="clear" w:color="auto" w:fill="D1F0B2"/>
            <w:vAlign w:val="center"/>
            <w:hideMark/>
          </w:tcPr>
          <w:p w:rsidR="006D43D3" w:rsidRPr="00925B28" w:rsidRDefault="006D43D3" w:rsidP="006D43D3">
            <w:pPr>
              <w:numPr>
                <w:ilvl w:val="0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KAMATOK</w:t>
            </w:r>
          </w:p>
        </w:tc>
      </w:tr>
      <w:tr w:rsidR="00D017A0">
        <w:trPr>
          <w:trHeight w:val="2354"/>
          <w:tblCellSpacing w:w="0" w:type="dxa"/>
        </w:trPr>
        <w:tc>
          <w:tcPr>
            <w:tcW w:w="10206" w:type="dxa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DD02AD">
            <w:pPr>
              <w:spacing w:before="80" w:after="80" w:line="240" w:lineRule="auto"/>
              <w:ind w:left="55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A Munkáltatói Jump Számlacsomag, Munkáltatói Tempó Számlacsomag, Munkáltatói Net Számlacsomag, Munkáltatói Prémium Plusz Számlacsomag, Munkáltatói Forint folyószámla, Munkáltatói Elektronikus Számlacsomag kamatai rendre megegyeznek a mindenkor hatályos, a Lakossági 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fizetési számlák (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bankszámlák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)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kamatairól 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 xml:space="preserve">és díjairól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szóló Hirdetményben szereplő, a Lakossági Jump Számlacsomag, Lakossági Tempó Számlacsomag, Lakossági Net Számlacsomag, Lakossági Prémium Plusz Számlacsomag, Lakossági Forint folyószámla, Lakossági Elektronikus Számlacsomag termékekre meghirdetett mértékekkel, a jelen hirdetményben foglalt eltérésekkel.</w:t>
            </w:r>
          </w:p>
        </w:tc>
      </w:tr>
    </w:tbl>
    <w:p w:rsidR="00B01105" w:rsidRPr="00925B28" w:rsidRDefault="00B01105" w:rsidP="00B82AAC">
      <w:pPr>
        <w:spacing w:line="240" w:lineRule="auto"/>
        <w:ind w:right="565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017A0">
        <w:trPr>
          <w:trHeight w:val="143"/>
          <w:tblCellSpacing w:w="0" w:type="dxa"/>
        </w:trPr>
        <w:tc>
          <w:tcPr>
            <w:tcW w:w="10206" w:type="dxa"/>
            <w:vAlign w:val="center"/>
            <w:hideMark/>
          </w:tcPr>
          <w:p w:rsidR="006D43D3" w:rsidRPr="00925B28" w:rsidRDefault="006D43D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257"/>
          <w:tblCellSpacing w:w="0" w:type="dxa"/>
        </w:trPr>
        <w:tc>
          <w:tcPr>
            <w:tcW w:w="10206" w:type="dxa"/>
            <w:shd w:val="clear" w:color="auto" w:fill="D1F0B2"/>
            <w:vAlign w:val="center"/>
            <w:hideMark/>
          </w:tcPr>
          <w:p w:rsidR="006D43D3" w:rsidRPr="00925B28" w:rsidRDefault="006D43D3" w:rsidP="006D43D3">
            <w:pPr>
              <w:numPr>
                <w:ilvl w:val="0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KÖLTSÉGEK, DÍJAK, JUTALÉKOK</w:t>
            </w:r>
          </w:p>
        </w:tc>
      </w:tr>
      <w:tr w:rsidR="00D017A0">
        <w:trPr>
          <w:trHeight w:val="2354"/>
          <w:tblCellSpacing w:w="0" w:type="dxa"/>
        </w:trPr>
        <w:tc>
          <w:tcPr>
            <w:tcW w:w="10206" w:type="dxa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DD02AD">
            <w:pPr>
              <w:spacing w:before="80" w:after="8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 Munkáltatói Jump Számlacsomag, a Munkáltatói Tempó Számlacsomag, a Munkáltatói Net Számlacsomag, a Munkáltatói Prémium Plusz Számlacsomag, a Munkáltatói Forint folyószámla valamint a Munkáltatói Elektronikus Számlacsomag kedvezményes díjtételeinek mértéke,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valamint a bankszámlák/számlacsomagok vezetését és az azokon bonyolított forgalmazást érintő további, a jelen Hirdetményben nem említett költségei és díjai rendre megegyeznek a mindenkor hatályos, a Lakossági 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fizetési számlák (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bankszámlák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) kamatairól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és díjairól szóló Hirdetményben szereplő, a Lakossági JUMP Számlacsomag, a Lakossági Tempó számlacsomag, a Lakossági Net Számlacsomag, a Lakossági Prémium Plusz Számlacsomag, a Lakossági Forint folyószámla, valamint a Lakossági Elektronikus Számlacsomag termékre meghirdetett mértékekkel.</w:t>
            </w:r>
          </w:p>
        </w:tc>
      </w:tr>
      <w:tr w:rsidR="00D017A0">
        <w:trPr>
          <w:trHeight w:val="143"/>
          <w:tblCellSpacing w:w="0" w:type="dxa"/>
        </w:trPr>
        <w:tc>
          <w:tcPr>
            <w:tcW w:w="10206" w:type="dxa"/>
            <w:vAlign w:val="center"/>
            <w:hideMark/>
          </w:tcPr>
          <w:p w:rsidR="006D43D3" w:rsidRPr="00925B28" w:rsidRDefault="006D43D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43"/>
          <w:tblCellSpacing w:w="0" w:type="dxa"/>
        </w:trPr>
        <w:tc>
          <w:tcPr>
            <w:tcW w:w="10206" w:type="dxa"/>
            <w:vAlign w:val="center"/>
          </w:tcPr>
          <w:p w:rsidR="007A16EA" w:rsidRPr="00925B28" w:rsidRDefault="007A16EA" w:rsidP="001D6FB3">
            <w:pPr>
              <w:spacing w:after="0" w:line="240" w:lineRule="auto"/>
              <w:ind w:right="56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203D5" w:rsidRPr="00925B28" w:rsidRDefault="004203D5" w:rsidP="001D6FB3">
            <w:pPr>
              <w:spacing w:after="0" w:line="240" w:lineRule="auto"/>
              <w:ind w:right="56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F07F1" w:rsidRPr="00925B28" w:rsidRDefault="004F07F1" w:rsidP="001D6FB3">
            <w:pPr>
              <w:spacing w:after="0" w:line="240" w:lineRule="auto"/>
              <w:ind w:right="56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A16EA" w:rsidRPr="00925B28" w:rsidRDefault="007A16EA" w:rsidP="001D6FB3">
            <w:pPr>
              <w:spacing w:after="0" w:line="240" w:lineRule="auto"/>
              <w:ind w:right="56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A16EA" w:rsidRPr="00925B28" w:rsidRDefault="007A16EA" w:rsidP="001D6FB3">
            <w:pPr>
              <w:spacing w:after="0" w:line="240" w:lineRule="auto"/>
              <w:ind w:right="56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017A0">
        <w:trPr>
          <w:trHeight w:val="257"/>
          <w:tblCellSpacing w:w="0" w:type="dxa"/>
        </w:trPr>
        <w:tc>
          <w:tcPr>
            <w:tcW w:w="10206" w:type="dxa"/>
            <w:shd w:val="clear" w:color="auto" w:fill="D1F0B2"/>
            <w:vAlign w:val="center"/>
            <w:hideMark/>
          </w:tcPr>
          <w:p w:rsidR="006D43D3" w:rsidRPr="00925B28" w:rsidRDefault="004D148E" w:rsidP="006D43D3">
            <w:pPr>
              <w:numPr>
                <w:ilvl w:val="0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6AB05CDA" wp14:editId="6AB05CDB">
                  <wp:simplePos x="0" y="0"/>
                  <wp:positionH relativeFrom="column">
                    <wp:posOffset>5845810</wp:posOffset>
                  </wp:positionH>
                  <wp:positionV relativeFrom="line">
                    <wp:posOffset>-88265</wp:posOffset>
                  </wp:positionV>
                  <wp:extent cx="488315" cy="488315"/>
                  <wp:effectExtent l="0" t="0" r="6985" b="6985"/>
                  <wp:wrapNone/>
                  <wp:docPr id="36" name="Kép 36" descr="ikonokRGB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konokRGB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3D3"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DÍJKEDVEZMÉNYEK</w:t>
            </w:r>
          </w:p>
        </w:tc>
      </w:tr>
      <w:tr w:rsidR="00D017A0">
        <w:trPr>
          <w:trHeight w:val="2354"/>
          <w:tblCellSpacing w:w="0" w:type="dxa"/>
        </w:trPr>
        <w:tc>
          <w:tcPr>
            <w:tcW w:w="10206" w:type="dxa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14339D">
            <w:pPr>
              <w:spacing w:before="80" w:after="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Jelen pontban szereplő kedvezményeket a feltételek fennállása hiányában nem nyújtja a Bank.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A kedvezmények igénybevételének alapvető feltétele, hogy:</w:t>
            </w:r>
          </w:p>
          <w:p w:rsidR="006D43D3" w:rsidRPr="00925B28" w:rsidRDefault="006D43D3" w:rsidP="006D43D3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D3" w:rsidRPr="00925B28" w:rsidRDefault="005A567B" w:rsidP="006D43D3">
            <w:pPr>
              <w:numPr>
                <w:ilvl w:val="0"/>
                <w:numId w:val="24"/>
              </w:numPr>
              <w:spacing w:after="0" w:line="240" w:lineRule="auto"/>
              <w:ind w:right="565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azon szakszervezetnek</w:t>
            </w:r>
            <w:r w:rsidR="00FA3864" w:rsidRPr="00925B28">
              <w:rPr>
                <w:rFonts w:ascii="Times New Roman" w:hAnsi="Times New Roman"/>
                <w:sz w:val="24"/>
                <w:szCs w:val="24"/>
              </w:rPr>
              <w:t>,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melyben </w:t>
            </w:r>
            <w:r w:rsidR="006D43D3"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Számlatulajdonos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tag</w:t>
            </w:r>
            <w:r w:rsidR="00FA3864" w:rsidRPr="00925B28">
              <w:rPr>
                <w:rFonts w:ascii="Times New Roman" w:hAnsi="Times New Roman"/>
                <w:sz w:val="24"/>
                <w:szCs w:val="24"/>
              </w:rPr>
              <w:t>sági jogviszonnyal rendelkezik és ezt szakszervezeti tagsági kártyájával igazolja,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="006D43D3"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az OTP Bankkal érvényes együttműködési megállapodása legyen Platina ajánlatra vonatkozóan</w:t>
            </w:r>
          </w:p>
          <w:p w:rsidR="006D43D3" w:rsidRPr="00925B28" w:rsidRDefault="006D43D3" w:rsidP="006D43D3">
            <w:pPr>
              <w:spacing w:after="0" w:line="240" w:lineRule="auto"/>
              <w:ind w:left="2253" w:right="565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és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3D3" w:rsidRPr="00925B28" w:rsidRDefault="006D43D3" w:rsidP="006D43D3">
            <w:pPr>
              <w:numPr>
                <w:ilvl w:val="0"/>
                <w:numId w:val="24"/>
              </w:numPr>
              <w:spacing w:after="0" w:line="240" w:lineRule="auto"/>
              <w:ind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jövedelem érkezzen a </w:t>
            </w:r>
            <w:r w:rsidR="005A567B" w:rsidRPr="00925B28">
              <w:rPr>
                <w:rFonts w:ascii="Times New Roman" w:hAnsi="Times New Roman"/>
                <w:sz w:val="24"/>
                <w:szCs w:val="24"/>
              </w:rPr>
              <w:t xml:space="preserve">szakszervezeti tag ügyfél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munkáltató</w:t>
            </w:r>
            <w:r w:rsidR="005A567B" w:rsidRPr="00925B28">
              <w:rPr>
                <w:rFonts w:ascii="Times New Roman" w:hAnsi="Times New Roman"/>
                <w:sz w:val="24"/>
                <w:szCs w:val="24"/>
              </w:rPr>
              <w:t>já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tól a Munkáltatói Jump, Munkáltatói Tempó, Munkáltatói Net, Munkáltatói Prémium Plusz, Munkáltatói Elektronikus Számlacsomagra, valamint a Munkáltatói Forint folyószámlára és/vagy azon Devizaszámlá(k)ra, melynek költségviselő számlájaként az adott munkáltatói számlacsomag forgalmazó alapszámlája van megjelölve.</w:t>
            </w:r>
          </w:p>
          <w:p w:rsidR="006D43D3" w:rsidRPr="00925B28" w:rsidRDefault="006D43D3" w:rsidP="006D43D3">
            <w:pPr>
              <w:spacing w:after="0" w:line="240" w:lineRule="auto"/>
              <w:ind w:left="2340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D3" w:rsidRPr="00925B28" w:rsidRDefault="006D43D3" w:rsidP="006D43D3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Az egyes díjkedvezmények valamely számlacsomagon történő biztosítása, elszámolása, jóváírása a mindenkor hatályos, a Lakossági bankszámlákról, betétekről és Folyószámlahitelről szóló Üzletszabályzat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 xml:space="preserve"> – Fizetési számlák (Bankszámlák) c. dokumentum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ban foglaltak szerint történik.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3D3" w:rsidRPr="00925B28" w:rsidRDefault="006D43D3" w:rsidP="00DD02AD">
            <w:pPr>
              <w:spacing w:before="80" w:after="80" w:line="240" w:lineRule="auto"/>
              <w:ind w:left="55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A kedvezmény igénybevételéhez szükséges feltételek nem teljesülése esetén az érintett díjtételekre vonatkozóan a Lakossági 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fizetési számlák (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bankszámlák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) kamatairól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és díjairól szóló hirdetményben foglaltak az irányadóak jelen hirdetmény 2. pontjának megfelelően.</w:t>
            </w:r>
          </w:p>
        </w:tc>
      </w:tr>
    </w:tbl>
    <w:p w:rsidR="006D43D3" w:rsidRPr="00925B28" w:rsidRDefault="006D43D3" w:rsidP="00B82AAC">
      <w:pPr>
        <w:spacing w:line="240" w:lineRule="auto"/>
        <w:ind w:right="565"/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9"/>
        <w:gridCol w:w="167"/>
      </w:tblGrid>
      <w:tr w:rsidR="00D017A0">
        <w:trPr>
          <w:trHeight w:val="168"/>
          <w:tblCellSpacing w:w="0" w:type="dxa"/>
        </w:trPr>
        <w:tc>
          <w:tcPr>
            <w:tcW w:w="10206" w:type="dxa"/>
            <w:gridSpan w:val="2"/>
            <w:vAlign w:val="center"/>
            <w:hideMark/>
          </w:tcPr>
          <w:p w:rsidR="006D43D3" w:rsidRPr="00925B28" w:rsidRDefault="006D43D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0"/>
                <w:szCs w:val="10"/>
                <w:lang w:eastAsia="hu-HU"/>
              </w:rPr>
            </w:pPr>
          </w:p>
        </w:tc>
      </w:tr>
      <w:tr w:rsidR="00D017A0">
        <w:trPr>
          <w:trHeight w:val="302"/>
          <w:tblCellSpacing w:w="0" w:type="dxa"/>
        </w:trPr>
        <w:tc>
          <w:tcPr>
            <w:tcW w:w="10206" w:type="dxa"/>
            <w:gridSpan w:val="2"/>
            <w:shd w:val="clear" w:color="auto" w:fill="D1F0B2"/>
            <w:vAlign w:val="center"/>
            <w:hideMark/>
          </w:tcPr>
          <w:p w:rsidR="006D43D3" w:rsidRPr="00925B28" w:rsidRDefault="006D43D3" w:rsidP="006D43D3">
            <w:pPr>
              <w:numPr>
                <w:ilvl w:val="1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JUMP SZÁMLACSOMAG</w:t>
            </w:r>
          </w:p>
        </w:tc>
      </w:tr>
      <w:tr w:rsidR="00D017A0">
        <w:trPr>
          <w:trHeight w:val="924"/>
          <w:tblCellSpacing w:w="0" w:type="dxa"/>
        </w:trPr>
        <w:tc>
          <w:tcPr>
            <w:tcW w:w="10206" w:type="dxa"/>
            <w:gridSpan w:val="2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4D66AF">
            <w:pPr>
              <w:spacing w:before="80" w:after="0" w:line="240" w:lineRule="auto"/>
              <w:ind w:left="550" w:right="567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A Munkáltatói Jump Számlacsomag esetén a mindenkor meghirdetett kedvezményeken túl az alább felsorolt díjakból nyújt további kedvezményt az OTP Bank</w:t>
            </w:r>
          </w:p>
          <w:p w:rsidR="006D43D3" w:rsidRPr="00925B28" w:rsidRDefault="006D43D3" w:rsidP="004D66AF">
            <w:pPr>
              <w:spacing w:after="0" w:line="240" w:lineRule="auto"/>
              <w:ind w:left="552" w:right="56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49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5669"/>
              <w:gridCol w:w="3380"/>
            </w:tblGrid>
            <w:tr w:rsidR="006D43D3" w:rsidRPr="00925B28" w:rsidTr="004D66AF">
              <w:trPr>
                <w:trHeight w:val="220"/>
              </w:trPr>
              <w:tc>
                <w:tcPr>
                  <w:tcW w:w="5669" w:type="dxa"/>
                  <w:shd w:val="clear" w:color="auto" w:fill="D0E8BF"/>
                  <w:vAlign w:val="center"/>
                </w:tcPr>
                <w:p w:rsidR="006D43D3" w:rsidRPr="00925B28" w:rsidRDefault="006D43D3" w:rsidP="00CD2313">
                  <w:pPr>
                    <w:pStyle w:val="Cmsor1"/>
                    <w:jc w:val="center"/>
                    <w:rPr>
                      <w:color w:val="auto"/>
                    </w:rPr>
                  </w:pPr>
                  <w:r w:rsidRPr="00925B28">
                    <w:t>Kedvezményes díjtétel</w:t>
                  </w:r>
                </w:p>
              </w:tc>
              <w:tc>
                <w:tcPr>
                  <w:tcW w:w="3380" w:type="dxa"/>
                  <w:shd w:val="clear" w:color="auto" w:fill="D0E8BF"/>
                  <w:vAlign w:val="center"/>
                </w:tcPr>
                <w:p w:rsidR="006D43D3" w:rsidRPr="00925B28" w:rsidRDefault="006D43D3" w:rsidP="00CD2313">
                  <w:pPr>
                    <w:pStyle w:val="Cmsor1"/>
                    <w:jc w:val="center"/>
                  </w:pPr>
                  <w:r w:rsidRPr="00925B28">
                    <w:t>Kedvezmény mértéke</w:t>
                  </w:r>
                </w:p>
              </w:tc>
            </w:tr>
            <w:tr w:rsidR="006D43D3" w:rsidRPr="00925B28" w:rsidTr="004D66AF">
              <w:trPr>
                <w:trHeight w:val="319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spacing w:after="0" w:line="240" w:lineRule="auto"/>
                    <w:ind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Számlavezetési díj</w:t>
                  </w:r>
                  <w:r w:rsidR="00CD2313"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/csomagdíj</w:t>
                  </w: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- a jelen pontban meghatározott aktivitási feltétel teljesülése esetén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6D43D3" w:rsidRPr="00925B28" w:rsidRDefault="006D43D3" w:rsidP="004D66AF">
            <w:pPr>
              <w:spacing w:after="0" w:line="240" w:lineRule="auto"/>
              <w:ind w:left="552" w:right="5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3D3" w:rsidRPr="00925B28" w:rsidRDefault="006D43D3" w:rsidP="004D66AF">
            <w:pPr>
              <w:spacing w:after="0" w:line="240" w:lineRule="auto"/>
              <w:ind w:left="567" w:right="56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A számlacsomaghoz havi díjmentes OTPdirekt (alap és kontroll) szolgáltatás kapcsolódik a Lakossági </w:t>
            </w:r>
            <w:r w:rsidR="005B7DF1" w:rsidRPr="00925B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fizetési számlák (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bankszámlák</w:t>
            </w:r>
            <w:r w:rsidR="005B7DF1" w:rsidRPr="00925B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kamatairól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</w:t>
            </w:r>
            <w:r w:rsidR="005B7DF1" w:rsidRPr="00925B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díjairól szóló Hirdetmény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szerint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.</w:t>
            </w:r>
          </w:p>
          <w:p w:rsidR="006D43D3" w:rsidRPr="00925B28" w:rsidRDefault="006D43D3" w:rsidP="004D66AF">
            <w:pPr>
              <w:spacing w:after="0" w:line="240" w:lineRule="auto"/>
              <w:ind w:left="567" w:right="56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6D43D3" w:rsidRPr="00925B28" w:rsidRDefault="006D43D3" w:rsidP="00F07966">
            <w:pPr>
              <w:spacing w:after="0" w:line="240" w:lineRule="auto"/>
              <w:ind w:left="567" w:right="56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925B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x-none" w:eastAsia="hu-HU"/>
              </w:rPr>
              <w:t>Aktivitási feltétel:</w:t>
            </w:r>
            <w:r w:rsidRPr="00925B28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 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a számla tulajdonosai által kezdeményezett terhelési tranzakciók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összege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 munkáltatói Jump számlán és azon  Devizaszámlá(k)on, melynek költségviselő számlájaként a munkáltatói Jump számla</w:t>
            </w:r>
            <w:r w:rsidR="00C741A8"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van megjelölve</w:t>
            </w:r>
            <w:r w:rsidRPr="00925B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– az ATM készpénz felvétel összegének kivételével - a vizsgálat hónapjában (havi zárlati napot megelőző hónap 16-a és 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lastRenderedPageBreak/>
              <w:t>havi zárlati napot megelőző 15-e között) elérje a 30.000 Ft-ot.</w:t>
            </w:r>
          </w:p>
          <w:p w:rsidR="006D43D3" w:rsidRPr="00925B28" w:rsidRDefault="006D43D3" w:rsidP="00F07966">
            <w:pPr>
              <w:spacing w:after="0" w:line="240" w:lineRule="auto"/>
              <w:ind w:left="567" w:right="5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25B28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Munkáltatói Jump Számlacsomag igénylése esetén a jelen pontban - a feltételek fennállása esetén - nyújtott számlavezetési díjkedvezményt az OTP Bank legelőször az igénylés hónapját követő 2. teljes hónapra vonatkozóan, majd azt követően folyamatosan biztosítja.</w:t>
            </w:r>
            <w:r w:rsidRPr="00925B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x-none" w:eastAsia="hu-HU"/>
              </w:rPr>
              <w:footnoteReference w:id="1"/>
            </w:r>
          </w:p>
        </w:tc>
      </w:tr>
      <w:tr w:rsidR="00D017A0">
        <w:trPr>
          <w:gridAfter w:val="1"/>
          <w:wAfter w:w="167" w:type="dxa"/>
          <w:trHeight w:val="168"/>
          <w:tblCellSpacing w:w="0" w:type="dxa"/>
        </w:trPr>
        <w:tc>
          <w:tcPr>
            <w:tcW w:w="0" w:type="auto"/>
            <w:vAlign w:val="center"/>
            <w:hideMark/>
          </w:tcPr>
          <w:p w:rsidR="006D43D3" w:rsidRPr="00925B28" w:rsidRDefault="006D43D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0"/>
                <w:szCs w:val="10"/>
                <w:lang w:eastAsia="hu-HU"/>
              </w:rPr>
            </w:pPr>
          </w:p>
        </w:tc>
      </w:tr>
      <w:tr w:rsidR="00D017A0">
        <w:trPr>
          <w:gridAfter w:val="1"/>
          <w:wAfter w:w="167" w:type="dxa"/>
          <w:trHeight w:val="302"/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6D43D3" w:rsidRPr="00925B28" w:rsidRDefault="006D43D3" w:rsidP="006D43D3">
            <w:pPr>
              <w:numPr>
                <w:ilvl w:val="1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TEMPÓ SZÁMLACSOMAG</w:t>
            </w:r>
          </w:p>
        </w:tc>
      </w:tr>
      <w:tr w:rsidR="00D017A0">
        <w:trPr>
          <w:gridAfter w:val="1"/>
          <w:wAfter w:w="167" w:type="dxa"/>
          <w:trHeight w:val="343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4D66AF">
            <w:pPr>
              <w:spacing w:before="80" w:after="0"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Munkáltatói Tempó Számlacsomag esetén a mindenkor meghirdetett kedvezményeken túl az alább felsorolt díjakból nyújt további kedvezményt az OTP Bank, a </w:t>
            </w:r>
            <w:r w:rsidRPr="00925B28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 xml:space="preserve">hagyományos Tempó Számlacsomaghoz kapcsolódó üzletági feltételek vizsgálata nélkül. </w:t>
            </w:r>
          </w:p>
          <w:p w:rsidR="006D43D3" w:rsidRPr="00925B28" w:rsidRDefault="006D43D3" w:rsidP="004D66AF">
            <w:pPr>
              <w:spacing w:after="0" w:line="240" w:lineRule="auto"/>
              <w:ind w:left="567" w:right="56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8990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5670"/>
              <w:gridCol w:w="3320"/>
            </w:tblGrid>
            <w:tr w:rsidR="006D43D3" w:rsidRPr="00925B28" w:rsidTr="004D66AF">
              <w:trPr>
                <w:trHeight w:val="167"/>
              </w:trPr>
              <w:tc>
                <w:tcPr>
                  <w:tcW w:w="5670" w:type="dxa"/>
                  <w:shd w:val="clear" w:color="auto" w:fill="D0E8BF"/>
                  <w:vAlign w:val="center"/>
                </w:tcPr>
                <w:p w:rsidR="006D43D3" w:rsidRPr="00925B28" w:rsidRDefault="006D43D3" w:rsidP="00CD2313">
                  <w:pPr>
                    <w:pStyle w:val="Cmsor1"/>
                    <w:jc w:val="center"/>
                    <w:rPr>
                      <w:color w:val="auto"/>
                    </w:rPr>
                  </w:pPr>
                  <w:r w:rsidRPr="00925B28">
                    <w:t>Kedvezményes díjtétel</w:t>
                  </w:r>
                </w:p>
              </w:tc>
              <w:tc>
                <w:tcPr>
                  <w:tcW w:w="3320" w:type="dxa"/>
                  <w:shd w:val="clear" w:color="auto" w:fill="D0E8BF"/>
                  <w:vAlign w:val="center"/>
                </w:tcPr>
                <w:p w:rsidR="006D43D3" w:rsidRPr="00925B28" w:rsidRDefault="006D43D3" w:rsidP="00CD2313">
                  <w:pPr>
                    <w:pStyle w:val="Cmsor1"/>
                    <w:jc w:val="center"/>
                  </w:pPr>
                  <w:r w:rsidRPr="00925B28">
                    <w:t>Kedvezmény mértéke</w:t>
                  </w:r>
                </w:p>
              </w:tc>
            </w:tr>
            <w:tr w:rsidR="006D43D3" w:rsidRPr="00925B28" w:rsidTr="004D66AF">
              <w:trPr>
                <w:trHeight w:val="216"/>
              </w:trPr>
              <w:tc>
                <w:tcPr>
                  <w:tcW w:w="5670" w:type="dxa"/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Számlavezetési díj</w:t>
                  </w:r>
                  <w:r w:rsidR="00CD2313"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/csomagdíj</w:t>
                  </w: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- a jelen pontban meghatározott aktivitási feltétel teljesülése esetén</w:t>
                  </w:r>
                </w:p>
              </w:tc>
              <w:tc>
                <w:tcPr>
                  <w:tcW w:w="3320" w:type="dxa"/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6D43D3" w:rsidRPr="00925B28" w:rsidTr="004D66AF">
              <w:trPr>
                <w:trHeight w:val="244"/>
              </w:trPr>
              <w:tc>
                <w:tcPr>
                  <w:tcW w:w="5670" w:type="dxa"/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Számlavezetési díj/csomagdíj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a jelen pontban meghatározott aktivitási feltétel nem teljesülése esetén</w:t>
                  </w:r>
                </w:p>
              </w:tc>
              <w:tc>
                <w:tcPr>
                  <w:tcW w:w="3320" w:type="dxa"/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Tempó Számlacsomag kedvezményes csomagdíja</w:t>
                  </w:r>
                </w:p>
              </w:tc>
            </w:tr>
            <w:tr w:rsidR="006D43D3" w:rsidRPr="00925B28" w:rsidTr="004D66AF">
              <w:trPr>
                <w:trHeight w:val="244"/>
              </w:trPr>
              <w:tc>
                <w:tcPr>
                  <w:tcW w:w="5670" w:type="dxa"/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OTPdirekt alap –, és kontroll szolgáltatások havi díja </w:t>
                  </w:r>
                  <w:r w:rsidRPr="00925B2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5B2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 jelen pontban meghatározott aktivitási feltétel teljesülése esetén</w:t>
                  </w:r>
                </w:p>
              </w:tc>
              <w:tc>
                <w:tcPr>
                  <w:tcW w:w="33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43D3" w:rsidRPr="00925B28" w:rsidRDefault="006D43D3" w:rsidP="004D66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D43D3" w:rsidRPr="00925B28" w:rsidRDefault="006D43D3" w:rsidP="004D66AF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D3" w:rsidRPr="00925B28" w:rsidRDefault="006D43D3" w:rsidP="004D66AF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u w:val="single"/>
                <w:lang w:val="x-none"/>
              </w:rPr>
              <w:t>Aktivitási feltétel: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a számla tulajdonosai által kezdeményezett terhelési tranzakciók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összege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 munkáltatói Tempó számlán és azon  Devizaszámlá(k)on, melynek költségviselő számlájaként a munkáltatói Tempó számla van megjelölve</w:t>
            </w:r>
            <w:r w:rsidRPr="00925B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– az ATM készpénz felvétel összegének kivételével - a vizsgálat hónapjában (havi zárlati napot megelőző hónap 16-a és havi zárlati napot megelőző 15-e között) elérje a 30.000 Ft-ot.</w:t>
            </w:r>
          </w:p>
          <w:p w:rsidR="006D43D3" w:rsidRPr="00925B28" w:rsidRDefault="006D43D3" w:rsidP="004D66AF">
            <w:pPr>
              <w:spacing w:before="80" w:after="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Munkáltatói Temp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ó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Számlacsomag igénylése esetén a jelen pontban - a feltételek fennállása esetén - nyújtott számlavezetési díjra/csomagdíjra vonatkozó kedvezményeket az OTP Bank legelőször az igénylés hónapját követő 2. teljes hónapra vonatkozóan, majd azt követően folyamatosan biztosítja.</w:t>
            </w:r>
            <w:r w:rsidRPr="00925B2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6D43D3" w:rsidRPr="00925B28" w:rsidRDefault="006D43D3" w:rsidP="004D66AF">
            <w:pPr>
              <w:spacing w:before="80" w:after="0"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 feltételek fennállása esetén nyújtott OTPdirekt szolgáltatásra vonatkozó havi díjkedvezményt</w:t>
            </w:r>
            <w:r w:rsidRPr="00925B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az igénylés hónapját követő hónaptól biztosítjuk</w:t>
            </w:r>
          </w:p>
          <w:p w:rsidR="006D43D3" w:rsidRPr="00925B28" w:rsidRDefault="006D43D3" w:rsidP="004D66AF">
            <w:pPr>
              <w:spacing w:after="0" w:line="240" w:lineRule="auto"/>
              <w:ind w:left="567" w:right="56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5A62ED" w:rsidRPr="00925B28" w:rsidRDefault="005A62ED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5A62ED" w:rsidRPr="00925B28" w:rsidRDefault="005A62ED" w:rsidP="00B82AAC">
      <w:pPr>
        <w:spacing w:line="240" w:lineRule="auto"/>
        <w:ind w:right="565"/>
        <w:rPr>
          <w:rFonts w:ascii="Arial" w:hAnsi="Arial" w:cs="Arial"/>
          <w:sz w:val="10"/>
          <w:szCs w:val="10"/>
        </w:rPr>
      </w:pPr>
      <w:r w:rsidRPr="00925B28">
        <w:rPr>
          <w:rFonts w:ascii="Arial" w:hAnsi="Arial" w:cs="Arial"/>
          <w:sz w:val="20"/>
          <w:szCs w:val="20"/>
        </w:rPr>
        <w:br w:type="page"/>
      </w:r>
    </w:p>
    <w:tbl>
      <w:tblPr>
        <w:tblW w:w="10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017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8FA" w:rsidRPr="00925B28" w:rsidRDefault="008F78FA" w:rsidP="00B82A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602"/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8F78FA" w:rsidRPr="00925B28" w:rsidRDefault="006D43D3" w:rsidP="006D43D3">
            <w:pPr>
              <w:numPr>
                <w:ilvl w:val="1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NET SZÁMLACSOMAG</w:t>
            </w:r>
          </w:p>
        </w:tc>
      </w:tr>
      <w:tr w:rsidR="00D017A0">
        <w:trPr>
          <w:trHeight w:val="5968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6D43D3" w:rsidRPr="00925B28" w:rsidRDefault="006D43D3" w:rsidP="00CD2313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550" w:right="550"/>
              <w:jc w:val="both"/>
              <w:rPr>
                <w:u w:val="single"/>
              </w:rPr>
            </w:pPr>
            <w:r w:rsidRPr="00925B28">
              <w:t xml:space="preserve">A Munkáltatói Net Számlacsomag esetén a mindenkor meghirdetett kedvezményeken túl az alább felsorolt díjakból nyújt további kedvezményt az OTP Bank, a </w:t>
            </w:r>
            <w:r w:rsidRPr="00925B28">
              <w:rPr>
                <w:u w:val="single"/>
              </w:rPr>
              <w:t>hagyományos Net Számlacsomaghoz kapcsolódó üzletági feltételek vizsgálata nélkül.</w:t>
            </w:r>
          </w:p>
          <w:p w:rsidR="00CD2313" w:rsidRPr="00925B28" w:rsidRDefault="00CD2313" w:rsidP="00CD2313">
            <w:pPr>
              <w:pStyle w:val="lfej"/>
              <w:tabs>
                <w:tab w:val="clear" w:pos="4536"/>
                <w:tab w:val="clear" w:pos="9072"/>
              </w:tabs>
              <w:ind w:left="550" w:right="550"/>
              <w:jc w:val="both"/>
            </w:pPr>
          </w:p>
          <w:tbl>
            <w:tblPr>
              <w:tblW w:w="9617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3402"/>
              <w:gridCol w:w="3119"/>
              <w:gridCol w:w="3096"/>
            </w:tblGrid>
            <w:tr w:rsidR="007A73C5" w:rsidRPr="00925B28" w:rsidTr="001F7BD0">
              <w:trPr>
                <w:trHeight w:val="181"/>
              </w:trPr>
              <w:tc>
                <w:tcPr>
                  <w:tcW w:w="3402" w:type="dxa"/>
                  <w:vMerge w:val="restart"/>
                  <w:shd w:val="clear" w:color="auto" w:fill="D0E8BF"/>
                  <w:vAlign w:val="center"/>
                </w:tcPr>
                <w:p w:rsidR="007A73C5" w:rsidRPr="00925B28" w:rsidRDefault="007A73C5" w:rsidP="001F7BD0">
                  <w:pPr>
                    <w:pStyle w:val="Cmsor1"/>
                    <w:jc w:val="center"/>
                    <w:rPr>
                      <w:color w:val="auto"/>
                    </w:rPr>
                  </w:pPr>
                  <w:r w:rsidRPr="00925B28">
                    <w:t>Kedvezményes díjtétel</w:t>
                  </w:r>
                </w:p>
              </w:tc>
              <w:tc>
                <w:tcPr>
                  <w:tcW w:w="6215" w:type="dxa"/>
                  <w:gridSpan w:val="2"/>
                  <w:shd w:val="clear" w:color="auto" w:fill="D0E8BF"/>
                  <w:vAlign w:val="center"/>
                </w:tcPr>
                <w:p w:rsidR="007A73C5" w:rsidRPr="00925B28" w:rsidRDefault="007A73C5" w:rsidP="001F7BD0">
                  <w:pPr>
                    <w:pStyle w:val="Cmsor1"/>
                    <w:jc w:val="center"/>
                  </w:pPr>
                  <w:r w:rsidRPr="00925B28">
                    <w:t>Kedvezmény mértéke</w:t>
                  </w:r>
                </w:p>
              </w:tc>
            </w:tr>
            <w:tr w:rsidR="007A73C5" w:rsidRPr="00925B28" w:rsidTr="001F7BD0">
              <w:trPr>
                <w:trHeight w:val="181"/>
              </w:trPr>
              <w:tc>
                <w:tcPr>
                  <w:tcW w:w="3402" w:type="dxa"/>
                  <w:vMerge/>
                  <w:shd w:val="clear" w:color="auto" w:fill="D0E8BF"/>
                  <w:vAlign w:val="center"/>
                </w:tcPr>
                <w:p w:rsidR="007A73C5" w:rsidRPr="00925B28" w:rsidRDefault="007A73C5" w:rsidP="001F7BD0">
                  <w:pPr>
                    <w:pStyle w:val="Cmsor1"/>
                    <w:jc w:val="center"/>
                  </w:pPr>
                </w:p>
              </w:tc>
              <w:tc>
                <w:tcPr>
                  <w:tcW w:w="3119" w:type="dxa"/>
                  <w:shd w:val="clear" w:color="auto" w:fill="D0E8BF"/>
                  <w:vAlign w:val="center"/>
                </w:tcPr>
                <w:p w:rsidR="007A73C5" w:rsidRPr="00925B28" w:rsidRDefault="007A73C5" w:rsidP="001F7BD0">
                  <w:pPr>
                    <w:pStyle w:val="Cmsor1"/>
                    <w:jc w:val="center"/>
                  </w:pPr>
                  <w:r w:rsidRPr="00925B28">
                    <w:t>2016.01.25 előtt nyitott</w:t>
                  </w:r>
                </w:p>
              </w:tc>
              <w:tc>
                <w:tcPr>
                  <w:tcW w:w="3096" w:type="dxa"/>
                  <w:shd w:val="clear" w:color="auto" w:fill="D0E8BF"/>
                </w:tcPr>
                <w:p w:rsidR="007A73C5" w:rsidRPr="00925B28" w:rsidRDefault="007A73C5" w:rsidP="001F7BD0">
                  <w:pPr>
                    <w:pStyle w:val="Cmsor1"/>
                    <w:jc w:val="center"/>
                  </w:pPr>
                  <w:r w:rsidRPr="00925B28">
                    <w:t>2016.01.25 után nyitott</w:t>
                  </w:r>
                </w:p>
              </w:tc>
            </w:tr>
            <w:tr w:rsidR="007A73C5" w:rsidRPr="00925B28" w:rsidTr="001F7BD0">
              <w:trPr>
                <w:trHeight w:val="264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7A73C5" w:rsidRPr="00925B28" w:rsidRDefault="007A73C5" w:rsidP="001F7BD0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Számlavezetési díj/csomagdíj 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- a jelen pontban meghatározott aktivitási feltétel teljesülése esetén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A73C5" w:rsidRPr="00925B28" w:rsidRDefault="007A73C5" w:rsidP="001F7B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50% a Net Számlacsomag kedvezményes csomagdíjából</w:t>
                  </w:r>
                </w:p>
              </w:tc>
              <w:tc>
                <w:tcPr>
                  <w:tcW w:w="3096" w:type="dxa"/>
                  <w:vAlign w:val="center"/>
                </w:tcPr>
                <w:p w:rsidR="007A73C5" w:rsidRPr="00925B28" w:rsidRDefault="007A73C5" w:rsidP="001F7B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100% a Net Számlacsomag kedvezményes csomagdíjából</w:t>
                  </w:r>
                </w:p>
              </w:tc>
            </w:tr>
            <w:tr w:rsidR="007A73C5" w:rsidRPr="00925B28" w:rsidTr="001F7BD0">
              <w:trPr>
                <w:trHeight w:val="264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7A73C5" w:rsidRPr="00925B28" w:rsidRDefault="007A73C5" w:rsidP="001F7BD0">
                  <w:pPr>
                    <w:spacing w:after="0" w:line="240" w:lineRule="auto"/>
                    <w:ind w:right="147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Számlavezetési díj/csomagdíj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a jelen pontban meghatározott aktivitási feltétel nem teljesülése esetén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73C5" w:rsidRPr="00925B28" w:rsidRDefault="007A73C5" w:rsidP="001F7B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Net Számlacsomag kedvezményes csomagdíja</w:t>
                  </w:r>
                </w:p>
              </w:tc>
              <w:tc>
                <w:tcPr>
                  <w:tcW w:w="3096" w:type="dxa"/>
                  <w:tcBorders>
                    <w:bottom w:val="single" w:sz="4" w:space="0" w:color="auto"/>
                  </w:tcBorders>
                  <w:vAlign w:val="center"/>
                </w:tcPr>
                <w:p w:rsidR="007A73C5" w:rsidRPr="00925B28" w:rsidRDefault="007A73C5" w:rsidP="001F7B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Net Számlacsomag kedvezményes csomagdíja</w:t>
                  </w:r>
                </w:p>
              </w:tc>
            </w:tr>
          </w:tbl>
          <w:p w:rsidR="007A73C5" w:rsidRPr="00925B28" w:rsidRDefault="007A73C5" w:rsidP="007A73C5">
            <w:pPr>
              <w:spacing w:after="0" w:line="240" w:lineRule="auto"/>
              <w:ind w:left="552" w:right="5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3C5" w:rsidRPr="00925B28" w:rsidRDefault="007A73C5" w:rsidP="007A73C5">
            <w:pPr>
              <w:spacing w:after="0" w:line="240" w:lineRule="auto"/>
              <w:ind w:left="567" w:right="56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 számlacsomaghoz havi díjmentes OTPdirekt (alap és kontroll) szolgáltatás kapcsolódik a Lakossági fizetési számlák (bankszámlák) kamatairól és díjairól szóló Hirdetmény szerint</w:t>
            </w:r>
          </w:p>
          <w:p w:rsidR="007A73C5" w:rsidRPr="00925B28" w:rsidRDefault="007A73C5" w:rsidP="007A73C5">
            <w:pPr>
              <w:spacing w:before="80" w:after="80"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u w:val="single"/>
                <w:lang w:val="x-none"/>
              </w:rPr>
              <w:t>Aktivitási feltétel:</w:t>
            </w: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számla tulajdonosai által kezdeményezett terhelési tranzakciók összege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 munkáltatói Net számlán és azon  Devizaszámlá(k)on, melynek költségviselő számlájaként a munkáltatói Net számla van megjelölve</w:t>
            </w:r>
            <w:r w:rsidRPr="00925B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– az ATM készpénz felvétel összegének kivételével - a vizsgálat hónapjában (havi zárlati napot megelőző hónap 16-a és havi zárlati napot megelőző 15-e között) elérje </w:t>
            </w:r>
          </w:p>
          <w:p w:rsidR="007A73C5" w:rsidRPr="00925B28" w:rsidRDefault="007A73C5" w:rsidP="007A73C5">
            <w:pPr>
              <w:pStyle w:val="Listaszerbekezds"/>
              <w:numPr>
                <w:ilvl w:val="0"/>
                <w:numId w:val="39"/>
              </w:numPr>
              <w:spacing w:before="80" w:after="80"/>
              <w:ind w:right="567"/>
              <w:jc w:val="both"/>
            </w:pPr>
            <w:r w:rsidRPr="00925B28">
              <w:rPr>
                <w:lang w:val="x-none"/>
              </w:rPr>
              <w:t>a 2016.01.25 előtt nyitott számlák esetén a 30.000 Ft-ot</w:t>
            </w:r>
            <w:r w:rsidRPr="00925B28">
              <w:t>,</w:t>
            </w:r>
          </w:p>
          <w:p w:rsidR="007A73C5" w:rsidRPr="00925B28" w:rsidRDefault="007A73C5" w:rsidP="007A73C5">
            <w:pPr>
              <w:pStyle w:val="Listaszerbekezds"/>
              <w:numPr>
                <w:ilvl w:val="0"/>
                <w:numId w:val="39"/>
              </w:numPr>
              <w:spacing w:before="80" w:after="80"/>
              <w:ind w:right="567"/>
              <w:jc w:val="both"/>
            </w:pPr>
            <w:r w:rsidRPr="00925B28">
              <w:t>a 2016.01.25 után nyitott számlák esetén az 50 000 Ft-ot.</w:t>
            </w:r>
          </w:p>
          <w:p w:rsidR="006D43D3" w:rsidRPr="00925B28" w:rsidRDefault="006D43D3" w:rsidP="00A923B6">
            <w:pPr>
              <w:spacing w:before="80" w:after="80" w:line="240" w:lineRule="auto"/>
              <w:ind w:left="55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Munkáltatói Net Számlacsomag igénylése esetén a jelen pontban - a feltételek fennállása esetén - nyújtott számlavezetési díj/csomagdíj kedvezményeket az OTP Bank legelőször az igénylés hónapját követő 2. teljes hónapra vonatkozóan, majd azt követően folyamatosan biztosítja.</w:t>
            </w:r>
            <w:r w:rsidR="00A923B6" w:rsidRPr="00925B28">
              <w:rPr>
                <w:rStyle w:val="Lbjegyzet-hivatkozs"/>
                <w:rFonts w:ascii="Times New Roman" w:hAnsi="Times New Roman"/>
                <w:sz w:val="24"/>
                <w:szCs w:val="24"/>
                <w:lang w:val="x-none"/>
              </w:rPr>
              <w:footnoteReference w:customMarkFollows="1" w:id="2"/>
              <w:t>1</w:t>
            </w:r>
          </w:p>
        </w:tc>
      </w:tr>
    </w:tbl>
    <w:p w:rsidR="008F78FA" w:rsidRPr="00925B28" w:rsidRDefault="008F78FA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tbl>
      <w:tblPr>
        <w:tblW w:w="10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017A0">
        <w:trPr>
          <w:trHeight w:val="14"/>
          <w:tblCellSpacing w:w="0" w:type="dxa"/>
        </w:trPr>
        <w:tc>
          <w:tcPr>
            <w:tcW w:w="0" w:type="auto"/>
            <w:vAlign w:val="center"/>
            <w:hideMark/>
          </w:tcPr>
          <w:p w:rsidR="006D43D3" w:rsidRPr="00925B28" w:rsidRDefault="006D43D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4"/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6D43D3" w:rsidRPr="00925B28" w:rsidRDefault="006D43D3" w:rsidP="00FD1713">
            <w:pPr>
              <w:numPr>
                <w:ilvl w:val="1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PRÉMIUM PLUSZ SZÁMLACSOMAG</w:t>
            </w:r>
          </w:p>
        </w:tc>
      </w:tr>
      <w:tr w:rsidR="00D017A0">
        <w:trPr>
          <w:trHeight w:val="634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FD1713" w:rsidRPr="00925B28" w:rsidRDefault="00FD1713" w:rsidP="00FD1713">
            <w:pPr>
              <w:spacing w:after="0" w:line="240" w:lineRule="auto"/>
              <w:ind w:left="567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D3" w:rsidRPr="00925B28" w:rsidRDefault="00FD1713" w:rsidP="00FD1713">
            <w:pPr>
              <w:spacing w:after="0" w:line="240" w:lineRule="auto"/>
              <w:ind w:left="567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Munkáltatói Prémium Plusz Számlacsomag esetén - a Lakossági Prémium Plusz Számlacsomag kedvezményes csomagdíjához meghatározott feltételek </w:t>
            </w:r>
            <w:r w:rsidRPr="00925B28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teljesítése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esetén - mindenkor meghirdetett kedvezményeken túl az alább felsorolt díjakból nyújt további kedvezményt az OTP Bank. </w:t>
            </w:r>
          </w:p>
          <w:p w:rsidR="00FD1713" w:rsidRPr="00925B28" w:rsidRDefault="00FD1713" w:rsidP="00FD1713">
            <w:pPr>
              <w:spacing w:after="0" w:line="240" w:lineRule="auto"/>
              <w:ind w:left="567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72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5624"/>
              <w:gridCol w:w="3448"/>
            </w:tblGrid>
            <w:tr w:rsidR="00FD1713" w:rsidRPr="00925B28" w:rsidTr="001D6FB3">
              <w:trPr>
                <w:trHeight w:val="166"/>
              </w:trPr>
              <w:tc>
                <w:tcPr>
                  <w:tcW w:w="5624" w:type="dxa"/>
                  <w:shd w:val="clear" w:color="auto" w:fill="D0E8BF"/>
                  <w:vAlign w:val="center"/>
                </w:tcPr>
                <w:p w:rsidR="00FD1713" w:rsidRPr="00925B28" w:rsidRDefault="00FD1713" w:rsidP="001D6FB3">
                  <w:pPr>
                    <w:pStyle w:val="Cmsor1"/>
                    <w:jc w:val="center"/>
                    <w:rPr>
                      <w:color w:val="auto"/>
                    </w:rPr>
                  </w:pPr>
                  <w:r w:rsidRPr="00925B28">
                    <w:t xml:space="preserve">Kedvezményes díjtétel </w:t>
                  </w:r>
                </w:p>
              </w:tc>
              <w:tc>
                <w:tcPr>
                  <w:tcW w:w="3448" w:type="dxa"/>
                  <w:shd w:val="clear" w:color="auto" w:fill="D0E8BF"/>
                  <w:vAlign w:val="center"/>
                </w:tcPr>
                <w:p w:rsidR="00FD1713" w:rsidRPr="00925B28" w:rsidRDefault="00FD1713" w:rsidP="001D6FB3">
                  <w:pPr>
                    <w:pStyle w:val="Cmsor1"/>
                    <w:jc w:val="center"/>
                  </w:pPr>
                  <w:r w:rsidRPr="00925B28">
                    <w:t>Kedvezmény mértéke</w:t>
                  </w:r>
                </w:p>
              </w:tc>
            </w:tr>
            <w:tr w:rsidR="00FD1713" w:rsidRPr="00925B28" w:rsidTr="001D6FB3">
              <w:trPr>
                <w:trHeight w:val="214"/>
              </w:trPr>
              <w:tc>
                <w:tcPr>
                  <w:tcW w:w="5624" w:type="dxa"/>
                  <w:shd w:val="clear" w:color="auto" w:fill="auto"/>
                  <w:vAlign w:val="center"/>
                </w:tcPr>
                <w:p w:rsidR="00FD1713" w:rsidRPr="00925B28" w:rsidRDefault="00FD1713" w:rsidP="006E210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Számlavezetési díj/csomagdíj 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- a jelen pontban meghatározott aktivitási feltétel teljesülése esetén</w:t>
                  </w:r>
                </w:p>
              </w:tc>
              <w:tc>
                <w:tcPr>
                  <w:tcW w:w="3448" w:type="dxa"/>
                  <w:shd w:val="clear" w:color="auto" w:fill="auto"/>
                  <w:vAlign w:val="center"/>
                </w:tcPr>
                <w:p w:rsidR="00FD1713" w:rsidRPr="00925B28" w:rsidRDefault="00FD1713" w:rsidP="001D6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50% a Prémium Plusz Számlacsomag kedvezményes csomagdíjából</w:t>
                  </w:r>
                </w:p>
              </w:tc>
            </w:tr>
          </w:tbl>
          <w:p w:rsidR="004D31CD" w:rsidRPr="00925B28" w:rsidRDefault="004D31CD" w:rsidP="004D31CD">
            <w:pPr>
              <w:spacing w:before="80" w:after="8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A számlacsomaghoz havi díjmentes OTPdirekt (alap és kontroll) szolgáltatás kapcsolódik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Lakossági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fizetési számlák (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bankszámlák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) kamatairól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és díjairól szóló Hirdetmény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szerint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4D31CD" w:rsidRPr="00925B28" w:rsidRDefault="004D31CD" w:rsidP="004D31CD">
            <w:pPr>
              <w:spacing w:after="0" w:line="240" w:lineRule="auto"/>
              <w:ind w:left="567" w:right="565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u w:val="single"/>
                <w:lang w:val="x-none"/>
              </w:rPr>
              <w:t xml:space="preserve">Aktivitási feltétel: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számla tulajdonosai által kezdeményezett terhelési tranzakciók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összege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 munkáltatói Prémium Plusz számlán és azon  Devizaszámlá(k)on, melynek költségviselő számlájaként a munkáltatói Prémium Plusz számla van megjelölve</w:t>
            </w:r>
            <w:r w:rsidRPr="00925B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– az ATM készpénz felvétel összegének kivételével - a vizsgálat hónapjában (havi zárlati napot megelőző hónap 16-a és havi zárlati napot megelőző 15-e között) elérje a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6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0.000 Ft-ot.</w:t>
            </w:r>
          </w:p>
          <w:p w:rsidR="004D31CD" w:rsidRPr="00925B28" w:rsidRDefault="004D31CD" w:rsidP="004D31CD">
            <w:pPr>
              <w:spacing w:after="0" w:line="240" w:lineRule="auto"/>
              <w:ind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        Munkáltatói Prémium Plusz Számlacsomag igénylése esetén a jelen pontban - a feltételek  </w:t>
            </w:r>
          </w:p>
          <w:p w:rsidR="004D31CD" w:rsidRPr="00925B28" w:rsidRDefault="004D31CD" w:rsidP="004D31CD">
            <w:pPr>
              <w:spacing w:after="0" w:line="240" w:lineRule="auto"/>
              <w:ind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        fennállása esetén - nyújtott számlavezetési díjkedvezményt az OTP Bank legelőször az </w:t>
            </w:r>
          </w:p>
          <w:p w:rsidR="004D31CD" w:rsidRPr="00925B28" w:rsidRDefault="004D31CD" w:rsidP="004D31CD">
            <w:pPr>
              <w:spacing w:after="0" w:line="240" w:lineRule="auto"/>
              <w:ind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        igénylés hónapját követő 1. teljes hónapra vonatkozóan, majd azt követően folyamatosan </w:t>
            </w:r>
          </w:p>
          <w:p w:rsidR="00587EFE" w:rsidRPr="00925B28" w:rsidRDefault="00D509C5">
            <w:pPr>
              <w:spacing w:after="0" w:line="240" w:lineRule="auto"/>
              <w:ind w:right="5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        biztosítja.</w:t>
            </w:r>
            <w:r w:rsidRPr="00925B2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customMarkFollows="1" w:id="3"/>
              <w:t>1</w:t>
            </w:r>
          </w:p>
        </w:tc>
      </w:tr>
      <w:tr w:rsidR="00D017A0">
        <w:trPr>
          <w:trHeight w:val="73"/>
          <w:tblCellSpacing w:w="0" w:type="dxa"/>
        </w:trPr>
        <w:tc>
          <w:tcPr>
            <w:tcW w:w="0" w:type="auto"/>
            <w:vAlign w:val="center"/>
            <w:hideMark/>
          </w:tcPr>
          <w:p w:rsidR="008F78FA" w:rsidRPr="00925B28" w:rsidRDefault="00B82AAC" w:rsidP="00B82AAC">
            <w:pPr>
              <w:spacing w:after="0" w:line="240" w:lineRule="auto"/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925B28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  <w:p w:rsidR="004D31CD" w:rsidRPr="00925B28" w:rsidRDefault="004D31CD" w:rsidP="00B82A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238EA" w:rsidRPr="00925B28" w:rsidRDefault="008238EA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017A0">
        <w:trPr>
          <w:trHeight w:val="14"/>
          <w:tblCellSpacing w:w="0" w:type="dxa"/>
        </w:trPr>
        <w:tc>
          <w:tcPr>
            <w:tcW w:w="10206" w:type="dxa"/>
            <w:vAlign w:val="center"/>
            <w:hideMark/>
          </w:tcPr>
          <w:p w:rsidR="00FD1713" w:rsidRPr="00925B28" w:rsidRDefault="00FD171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4"/>
          <w:tblCellSpacing w:w="0" w:type="dxa"/>
        </w:trPr>
        <w:tc>
          <w:tcPr>
            <w:tcW w:w="10206" w:type="dxa"/>
            <w:shd w:val="clear" w:color="auto" w:fill="D1F0B2"/>
            <w:vAlign w:val="center"/>
            <w:hideMark/>
          </w:tcPr>
          <w:p w:rsidR="00FD1713" w:rsidRPr="00925B28" w:rsidRDefault="00FD1713" w:rsidP="00FD1713">
            <w:pPr>
              <w:numPr>
                <w:ilvl w:val="1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FORINT FOLYÓSZÁMLA</w:t>
            </w:r>
          </w:p>
        </w:tc>
      </w:tr>
      <w:tr w:rsidR="00D017A0">
        <w:trPr>
          <w:trHeight w:val="4778"/>
          <w:tblCellSpacing w:w="0" w:type="dxa"/>
        </w:trPr>
        <w:tc>
          <w:tcPr>
            <w:tcW w:w="10206" w:type="dxa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FD1713" w:rsidRPr="00925B28" w:rsidRDefault="00FD1713" w:rsidP="006E210A">
            <w:pPr>
              <w:pStyle w:val="lfej"/>
              <w:spacing w:before="80"/>
              <w:ind w:left="550" w:right="550"/>
              <w:jc w:val="both"/>
              <w:rPr>
                <w:u w:val="single"/>
              </w:rPr>
            </w:pPr>
            <w:r w:rsidRPr="00925B28">
              <w:rPr>
                <w:lang w:val="x-none"/>
              </w:rPr>
              <w:t>A Munkáltatói Forint folyószámla esetén a mindenkor meghirdetett kedvezményeken túl az alább felsorolt díjakból nyújt további kedvezményt az OTP Bank.</w:t>
            </w:r>
            <w:r w:rsidRPr="00925B28">
              <w:rPr>
                <w:u w:val="single"/>
                <w:lang w:val="x-none"/>
              </w:rPr>
              <w:t xml:space="preserve"> </w:t>
            </w:r>
          </w:p>
          <w:p w:rsidR="006E210A" w:rsidRPr="00925B28" w:rsidRDefault="006E210A" w:rsidP="006E210A">
            <w:pPr>
              <w:pStyle w:val="lfej"/>
              <w:ind w:left="550" w:right="550"/>
              <w:rPr>
                <w:u w:val="single"/>
              </w:rPr>
            </w:pPr>
          </w:p>
          <w:tbl>
            <w:tblPr>
              <w:tblW w:w="9080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5670"/>
              <w:gridCol w:w="3410"/>
            </w:tblGrid>
            <w:tr w:rsidR="00FD1713" w:rsidRPr="00925B28" w:rsidTr="006E210A">
              <w:trPr>
                <w:trHeight w:val="177"/>
              </w:trPr>
              <w:tc>
                <w:tcPr>
                  <w:tcW w:w="5670" w:type="dxa"/>
                  <w:shd w:val="clear" w:color="auto" w:fill="D0E8BF"/>
                  <w:vAlign w:val="center"/>
                </w:tcPr>
                <w:p w:rsidR="00FD1713" w:rsidRPr="00925B28" w:rsidRDefault="00FD1713" w:rsidP="006E210A">
                  <w:pPr>
                    <w:pStyle w:val="Cmsor1"/>
                    <w:jc w:val="center"/>
                    <w:rPr>
                      <w:color w:val="auto"/>
                    </w:rPr>
                  </w:pPr>
                  <w:r w:rsidRPr="00925B28">
                    <w:t>Kedvezményes díjtétel</w:t>
                  </w:r>
                </w:p>
              </w:tc>
              <w:tc>
                <w:tcPr>
                  <w:tcW w:w="3410" w:type="dxa"/>
                  <w:shd w:val="clear" w:color="auto" w:fill="D0E8BF"/>
                  <w:vAlign w:val="center"/>
                </w:tcPr>
                <w:p w:rsidR="00FD1713" w:rsidRPr="00925B28" w:rsidRDefault="00FD1713" w:rsidP="006E210A">
                  <w:pPr>
                    <w:pStyle w:val="Cmsor1"/>
                    <w:jc w:val="center"/>
                  </w:pPr>
                  <w:r w:rsidRPr="00925B28">
                    <w:t>Kedvezmény mértéke</w:t>
                  </w:r>
                </w:p>
              </w:tc>
            </w:tr>
            <w:tr w:rsidR="00FD1713" w:rsidRPr="00925B28" w:rsidTr="006E210A">
              <w:trPr>
                <w:trHeight w:val="257"/>
              </w:trPr>
              <w:tc>
                <w:tcPr>
                  <w:tcW w:w="5670" w:type="dxa"/>
                  <w:shd w:val="clear" w:color="auto" w:fill="auto"/>
                  <w:vAlign w:val="center"/>
                </w:tcPr>
                <w:p w:rsidR="00FD1713" w:rsidRPr="00925B28" w:rsidRDefault="00FD1713" w:rsidP="006E210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Számlavezetési díj/csomagdíj 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- a jelen pontban meghatározott aktivitási feltétel teljesülése esetén</w:t>
                  </w:r>
                </w:p>
              </w:tc>
              <w:tc>
                <w:tcPr>
                  <w:tcW w:w="3410" w:type="dxa"/>
                  <w:shd w:val="clear" w:color="auto" w:fill="auto"/>
                  <w:vAlign w:val="center"/>
                </w:tcPr>
                <w:p w:rsidR="00FD1713" w:rsidRPr="00925B28" w:rsidRDefault="00FD1713" w:rsidP="006E21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FD1713" w:rsidRPr="00925B28" w:rsidRDefault="00FD1713" w:rsidP="006E210A">
            <w:pPr>
              <w:spacing w:after="0" w:line="240" w:lineRule="auto"/>
              <w:ind w:left="552" w:right="5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713" w:rsidRPr="00925B28" w:rsidRDefault="00FD1713" w:rsidP="006E210A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u w:val="single"/>
                <w:lang w:val="x-none"/>
              </w:rPr>
              <w:t>Aktivitási feltétel:</w:t>
            </w: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számla tulajdonosai által kezdeményezett terhelési tranzakciók összege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 munkáltatói Forint folyószámlán és azon  Devizaszámlá(k)on, melynek költségviselő számlájaként a munkáltatói Forint folyószámla van megjelölve</w:t>
            </w:r>
            <w:r w:rsidRPr="00925B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– az ATM készpénz felvétel összegének kivételével - a vizsgálat hónapjában (havi zárlati napot megelőző hónap 16-a és havi zárlati napot megelőző 15-e között) elérje a 30.000 Ft-ot.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713" w:rsidRPr="00925B28" w:rsidRDefault="00FD1713" w:rsidP="006E210A">
            <w:pPr>
              <w:spacing w:before="80" w:after="0" w:line="240" w:lineRule="auto"/>
              <w:ind w:left="55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Munkáltatói Forint Folyószámla igénylése esetén a jelen pontban - a feltételek fennállása esetén - nyújtott számlavezetési díj/csomagdíj kedvezményeket az OTP Bank legelőször az igénylés hónapját követő 2. teljes hónapra vonatkozóan, majd azt követően folyamatosan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biztosítj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a.</w:t>
            </w:r>
            <w:r w:rsidRPr="00925B2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6E210A" w:rsidRPr="00925B28" w:rsidRDefault="006E210A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7A16EA" w:rsidRPr="00925B28" w:rsidRDefault="007A16EA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7A16EA" w:rsidRPr="00925B28" w:rsidRDefault="007A16EA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FD1713" w:rsidRPr="00925B28" w:rsidRDefault="00FD1713" w:rsidP="006E210A">
      <w:pPr>
        <w:spacing w:after="0" w:line="240" w:lineRule="auto"/>
        <w:ind w:left="1080" w:right="565"/>
        <w:rPr>
          <w:rFonts w:ascii="Times New Roman" w:hAnsi="Times New Roman"/>
          <w:sz w:val="20"/>
          <w:szCs w:val="20"/>
        </w:rPr>
      </w:pPr>
    </w:p>
    <w:tbl>
      <w:tblPr>
        <w:tblW w:w="99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4"/>
      </w:tblGrid>
      <w:tr w:rsidR="00D017A0">
        <w:trPr>
          <w:trHeight w:val="14"/>
          <w:tblCellSpacing w:w="0" w:type="dxa"/>
        </w:trPr>
        <w:tc>
          <w:tcPr>
            <w:tcW w:w="0" w:type="auto"/>
            <w:vAlign w:val="center"/>
            <w:hideMark/>
          </w:tcPr>
          <w:p w:rsidR="00FD1713" w:rsidRPr="00925B28" w:rsidRDefault="00FD171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4"/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FD1713" w:rsidRPr="00925B28" w:rsidRDefault="00FD1713" w:rsidP="008876B4">
            <w:pPr>
              <w:numPr>
                <w:ilvl w:val="1"/>
                <w:numId w:val="21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MUNKÁLTATÓI ELEKTRONIKUS SZÁMLACSOMAG</w:t>
            </w:r>
          </w:p>
        </w:tc>
      </w:tr>
      <w:tr w:rsidR="00D017A0">
        <w:trPr>
          <w:trHeight w:val="5824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FD1713" w:rsidRPr="00925B28" w:rsidRDefault="00FD1713" w:rsidP="00FD1713">
            <w:pPr>
              <w:pStyle w:val="lfej"/>
              <w:ind w:left="552" w:right="623"/>
              <w:jc w:val="both"/>
            </w:pPr>
            <w:r w:rsidRPr="00925B28">
              <w:rPr>
                <w:lang w:val="x-none"/>
              </w:rPr>
              <w:t xml:space="preserve">A Munkáltatói Elektronikus Számlacsomag esetén a mindenkor meghirdetett kedvezményeken túl az alább felsorolt díjakból nyújt további kedvezményt az OTP Bank. </w:t>
            </w:r>
          </w:p>
          <w:p w:rsidR="00FD1713" w:rsidRPr="00925B28" w:rsidRDefault="00FD1713" w:rsidP="00FD1713">
            <w:pPr>
              <w:pStyle w:val="lfej"/>
              <w:ind w:left="552"/>
            </w:pPr>
          </w:p>
          <w:tbl>
            <w:tblPr>
              <w:tblW w:w="8795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5173"/>
              <w:gridCol w:w="3622"/>
            </w:tblGrid>
            <w:tr w:rsidR="00FD1713" w:rsidRPr="00925B28" w:rsidTr="00FD1713">
              <w:trPr>
                <w:trHeight w:val="203"/>
              </w:trPr>
              <w:tc>
                <w:tcPr>
                  <w:tcW w:w="5173" w:type="dxa"/>
                  <w:shd w:val="clear" w:color="auto" w:fill="D0E8BF"/>
                  <w:vAlign w:val="center"/>
                </w:tcPr>
                <w:p w:rsidR="00FD1713" w:rsidRPr="00925B28" w:rsidRDefault="00FD1713" w:rsidP="001D6FB3">
                  <w:pPr>
                    <w:pStyle w:val="Cmsor1"/>
                    <w:jc w:val="center"/>
                    <w:rPr>
                      <w:color w:val="auto"/>
                    </w:rPr>
                  </w:pPr>
                  <w:r w:rsidRPr="00925B28">
                    <w:t xml:space="preserve">Kedvezményes díjtétel </w:t>
                  </w:r>
                </w:p>
              </w:tc>
              <w:tc>
                <w:tcPr>
                  <w:tcW w:w="3622" w:type="dxa"/>
                  <w:shd w:val="clear" w:color="auto" w:fill="D0E8BF"/>
                  <w:vAlign w:val="center"/>
                </w:tcPr>
                <w:p w:rsidR="00FD1713" w:rsidRPr="00925B28" w:rsidRDefault="00FD1713" w:rsidP="001D6FB3">
                  <w:pPr>
                    <w:pStyle w:val="Cmsor1"/>
                    <w:jc w:val="center"/>
                  </w:pPr>
                  <w:r w:rsidRPr="00925B28">
                    <w:t>Kedvezmény mértéke</w:t>
                  </w:r>
                </w:p>
              </w:tc>
            </w:tr>
            <w:tr w:rsidR="00FD1713" w:rsidRPr="00925B28" w:rsidTr="00FD1713">
              <w:trPr>
                <w:trHeight w:val="262"/>
              </w:trPr>
              <w:tc>
                <w:tcPr>
                  <w:tcW w:w="5173" w:type="dxa"/>
                  <w:shd w:val="clear" w:color="auto" w:fill="auto"/>
                  <w:vAlign w:val="center"/>
                </w:tcPr>
                <w:p w:rsidR="00FD1713" w:rsidRPr="00925B28" w:rsidRDefault="00FD1713" w:rsidP="006E210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Számlavezetési díj/csomagdíj </w:t>
                  </w: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>- a jelen pontban meghatározott aktivitási feltétel teljesülése esetén</w:t>
                  </w:r>
                </w:p>
              </w:tc>
              <w:tc>
                <w:tcPr>
                  <w:tcW w:w="3622" w:type="dxa"/>
                  <w:shd w:val="clear" w:color="auto" w:fill="auto"/>
                  <w:vAlign w:val="center"/>
                </w:tcPr>
                <w:p w:rsidR="00FD1713" w:rsidRPr="00925B28" w:rsidRDefault="00FD1713" w:rsidP="001D6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28">
                    <w:rPr>
                      <w:rFonts w:ascii="Times New Roman" w:hAnsi="Times New Roman"/>
                      <w:sz w:val="24"/>
                      <w:szCs w:val="24"/>
                    </w:rPr>
                    <w:t xml:space="preserve">50% </w:t>
                  </w:r>
                </w:p>
              </w:tc>
            </w:tr>
          </w:tbl>
          <w:p w:rsidR="006E210A" w:rsidRPr="00925B28" w:rsidRDefault="006E210A" w:rsidP="006E210A">
            <w:pPr>
              <w:spacing w:after="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10A" w:rsidRPr="00925B28" w:rsidRDefault="006E210A" w:rsidP="006E210A">
            <w:pPr>
              <w:spacing w:after="0" w:line="240" w:lineRule="auto"/>
              <w:ind w:left="550" w:right="567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számlacsomaghoz havi díjmentes OTPdirekt (alap és kontroll) szolgáltatás kapcsolódik a Lakossági 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fizetési számlák (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bankszámlák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) kamatairól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és díjairól szóló Hirdetmény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szerint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6E210A" w:rsidRPr="00925B28" w:rsidRDefault="006E210A" w:rsidP="001D6FB3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1713" w:rsidRPr="00925B28" w:rsidRDefault="00FD1713" w:rsidP="001D6FB3">
            <w:pPr>
              <w:spacing w:after="0" w:line="240" w:lineRule="auto"/>
              <w:ind w:left="55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b/>
                <w:sz w:val="24"/>
                <w:szCs w:val="24"/>
                <w:u w:val="single"/>
                <w:lang w:val="x-none"/>
              </w:rPr>
              <w:t>Aktivitási feltétel:</w:t>
            </w:r>
            <w:r w:rsidRPr="00925B2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a számla tulajdonosai által kezdeményezett terhelési tranzakciók összege 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 munkáltatói </w:t>
            </w:r>
            <w:r w:rsidR="006E210A"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Elektronikus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számlán és azon  Devizaszámlá(k)on, melynek költségviselő számlájaként a munkáltatói </w:t>
            </w:r>
            <w:r w:rsidR="006E210A"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Elektronikus</w:t>
            </w:r>
            <w:r w:rsidRPr="00925B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számla van megjelölve</w:t>
            </w:r>
            <w:r w:rsidRPr="00925B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– az ATM készpénz felvétel összegének kivételével - a vizsgálat hónapjában (havi zárlati napot megelőző hónap 16-a és havi zárlati napot megelőző 15-e között) elérje a 30.000 Ft-ot.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713" w:rsidRPr="00925B28" w:rsidRDefault="00FD1713" w:rsidP="006E210A">
            <w:pPr>
              <w:spacing w:before="80" w:after="0" w:line="240" w:lineRule="auto"/>
              <w:ind w:left="55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Munkáltatói </w:t>
            </w:r>
            <w:r w:rsidR="006E210A" w:rsidRPr="00925B28">
              <w:rPr>
                <w:rFonts w:ascii="Times New Roman" w:hAnsi="Times New Roman"/>
                <w:sz w:val="24"/>
                <w:szCs w:val="24"/>
              </w:rPr>
              <w:t xml:space="preserve">Elektronikus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="006E210A" w:rsidRPr="00925B28">
              <w:rPr>
                <w:rFonts w:ascii="Times New Roman" w:hAnsi="Times New Roman"/>
                <w:sz w:val="24"/>
                <w:szCs w:val="24"/>
              </w:rPr>
              <w:t>S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zámla</w:t>
            </w:r>
            <w:r w:rsidR="006E210A" w:rsidRPr="00925B28">
              <w:rPr>
                <w:rFonts w:ascii="Times New Roman" w:hAnsi="Times New Roman"/>
                <w:sz w:val="24"/>
                <w:szCs w:val="24"/>
              </w:rPr>
              <w:t>csomag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igénylése esetén a jelen pontban - a feltételek fennállása esetén - nyújtott számlavezetési díj/csomagdíj kedvezményeket az OTP Bank legelőször az igénylés hónapját követő 2. teljes hónapra vonatkozóan, majd azt követően folyamatosan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  <w:lang w:val="x-none"/>
              </w:rPr>
              <w:t>biztosítj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a.</w:t>
            </w:r>
            <w:r w:rsidR="006E210A" w:rsidRPr="00925B2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customMarkFollows="1" w:id="4"/>
              <w:t>1</w:t>
            </w:r>
          </w:p>
        </w:tc>
      </w:tr>
    </w:tbl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tbl>
      <w:tblPr>
        <w:tblW w:w="99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4"/>
      </w:tblGrid>
      <w:tr w:rsidR="00D017A0">
        <w:trPr>
          <w:trHeight w:val="14"/>
          <w:tblCellSpacing w:w="0" w:type="dxa"/>
        </w:trPr>
        <w:tc>
          <w:tcPr>
            <w:tcW w:w="0" w:type="auto"/>
            <w:vAlign w:val="center"/>
            <w:hideMark/>
          </w:tcPr>
          <w:p w:rsidR="00FD1713" w:rsidRPr="00925B28" w:rsidRDefault="00FD171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4"/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FD1713" w:rsidRPr="00925B28" w:rsidRDefault="00FD1713" w:rsidP="00FD1713">
            <w:pPr>
              <w:numPr>
                <w:ilvl w:val="0"/>
                <w:numId w:val="20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EGYÉB IGÉNYBEVEHETŐ KEDVEZMÉNYEK</w:t>
            </w:r>
          </w:p>
        </w:tc>
      </w:tr>
      <w:tr w:rsidR="00D017A0">
        <w:trPr>
          <w:trHeight w:val="3002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FD1713" w:rsidRPr="00925B28" w:rsidRDefault="00FD1713" w:rsidP="00FD1713">
            <w:pPr>
              <w:pStyle w:val="lfej"/>
              <w:ind w:left="552" w:right="550"/>
              <w:jc w:val="both"/>
              <w:rPr>
                <w:lang w:val="x-none"/>
              </w:rPr>
            </w:pPr>
            <w:r w:rsidRPr="00925B28">
              <w:rPr>
                <w:lang w:val="x-none"/>
              </w:rPr>
              <w:t xml:space="preserve">A </w:t>
            </w:r>
            <w:r w:rsidRPr="00925B28">
              <w:t>m</w:t>
            </w:r>
            <w:r w:rsidRPr="00925B28">
              <w:rPr>
                <w:lang w:val="x-none"/>
              </w:rPr>
              <w:t xml:space="preserve">unkáltatói Platina </w:t>
            </w:r>
            <w:r w:rsidRPr="00925B28">
              <w:t>a</w:t>
            </w:r>
            <w:r w:rsidRPr="00925B28">
              <w:rPr>
                <w:lang w:val="x-none"/>
              </w:rPr>
              <w:t xml:space="preserve">jánlat </w:t>
            </w:r>
            <w:r w:rsidRPr="00925B28">
              <w:t>részeként</w:t>
            </w:r>
            <w:r w:rsidRPr="00925B28">
              <w:rPr>
                <w:lang w:val="x-none"/>
              </w:rPr>
              <w:t xml:space="preserve"> a mindenkor nyújtott kedvezményeken túl az alábbi, további kedvezményeket nyújtja az OTP Bank Nyrt. valamint az OTP Jelzálogbank Zrt.</w:t>
            </w:r>
          </w:p>
          <w:p w:rsidR="00FD1713" w:rsidRPr="00925B28" w:rsidRDefault="00FD1713" w:rsidP="006E210A">
            <w:pPr>
              <w:pStyle w:val="lfej"/>
              <w:spacing w:before="80" w:after="80"/>
              <w:ind w:left="550" w:right="550"/>
              <w:jc w:val="both"/>
            </w:pPr>
            <w:r w:rsidRPr="00925B28">
              <w:rPr>
                <w:lang w:val="x-none"/>
              </w:rPr>
              <w:t>A kedvezmények igénybevételének alapvető feltétele, hogy</w:t>
            </w:r>
          </w:p>
          <w:p w:rsidR="00FD1713" w:rsidRPr="00925B28" w:rsidRDefault="005A567B" w:rsidP="00FD1713">
            <w:pPr>
              <w:pStyle w:val="lfej"/>
              <w:numPr>
                <w:ilvl w:val="1"/>
                <w:numId w:val="32"/>
              </w:numPr>
              <w:ind w:right="550"/>
              <w:jc w:val="both"/>
              <w:rPr>
                <w:lang w:val="x-none"/>
              </w:rPr>
            </w:pPr>
            <w:r w:rsidRPr="00925B28">
              <w:t xml:space="preserve">azon szakszervezetnek, melyben </w:t>
            </w:r>
            <w:r w:rsidR="00FD1713" w:rsidRPr="00925B28">
              <w:rPr>
                <w:lang w:val="x-none"/>
              </w:rPr>
              <w:t>a Számlatulajdonos</w:t>
            </w:r>
            <w:r w:rsidRPr="00925B28">
              <w:t xml:space="preserve"> tag</w:t>
            </w:r>
            <w:r w:rsidR="00FA3864" w:rsidRPr="00925B28">
              <w:t>sági jogviszonnyal rendelkezik és ezt szakszervezeti tagsági kártyájával igazolja,</w:t>
            </w:r>
            <w:r w:rsidR="00FD1713" w:rsidRPr="00925B28">
              <w:rPr>
                <w:lang w:val="x-none"/>
              </w:rPr>
              <w:t xml:space="preserve"> </w:t>
            </w:r>
            <w:r w:rsidRPr="00925B28">
              <w:rPr>
                <w:lang w:val="x-none"/>
              </w:rPr>
              <w:t xml:space="preserve"> </w:t>
            </w:r>
            <w:r w:rsidR="00FD1713" w:rsidRPr="00925B28">
              <w:rPr>
                <w:lang w:val="x-none"/>
              </w:rPr>
              <w:t>az OTP Bankkal érvényes együttműködési megállapodása legyen Platina ajánlatra vonatkozóan</w:t>
            </w:r>
          </w:p>
          <w:p w:rsidR="00FD1713" w:rsidRPr="00925B28" w:rsidRDefault="00FD1713" w:rsidP="00FD1713">
            <w:pPr>
              <w:pStyle w:val="lfej"/>
              <w:ind w:left="1440" w:right="550"/>
              <w:jc w:val="both"/>
              <w:rPr>
                <w:lang w:val="x-none"/>
              </w:rPr>
            </w:pPr>
            <w:r w:rsidRPr="00925B28">
              <w:t xml:space="preserve"> </w:t>
            </w:r>
            <w:r w:rsidRPr="00925B28">
              <w:rPr>
                <w:b/>
                <w:u w:val="single"/>
              </w:rPr>
              <w:t>ÉS</w:t>
            </w:r>
          </w:p>
          <w:p w:rsidR="00FD1713" w:rsidRPr="00925B28" w:rsidRDefault="00FD1713" w:rsidP="005A567B">
            <w:pPr>
              <w:numPr>
                <w:ilvl w:val="1"/>
                <w:numId w:val="32"/>
              </w:numPr>
              <w:spacing w:after="0" w:line="240" w:lineRule="auto"/>
              <w:ind w:right="5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jövedelem érkezzen a Számlatulajdonos munkáltatójától a Számlatulajdonos OTP banknál vezetett lakossági bankszámlájára</w:t>
            </w:r>
            <w:r w:rsidR="006E210A" w:rsidRPr="00925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tbl>
      <w:tblPr>
        <w:tblW w:w="10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017A0">
        <w:trPr>
          <w:trHeight w:val="73"/>
          <w:tblCellSpacing w:w="0" w:type="dxa"/>
        </w:trPr>
        <w:tc>
          <w:tcPr>
            <w:tcW w:w="0" w:type="auto"/>
            <w:vAlign w:val="center"/>
            <w:hideMark/>
          </w:tcPr>
          <w:p w:rsidR="00FD1713" w:rsidRPr="00925B28" w:rsidRDefault="00FD171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5A5B1D" w:rsidRPr="00925B28" w:rsidRDefault="005A5B1D" w:rsidP="00DC0870">
      <w:pPr>
        <w:pStyle w:val="Cmsor1"/>
        <w:jc w:val="center"/>
        <w:rPr>
          <w:sz w:val="22"/>
          <w:szCs w:val="22"/>
        </w:rPr>
        <w:sectPr w:rsidR="005A5B1D" w:rsidRPr="00925B28" w:rsidSect="0099282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7" w:right="851" w:bottom="851" w:left="851" w:header="709" w:footer="366" w:gutter="0"/>
          <w:cols w:space="708"/>
          <w:docGrid w:linePitch="360"/>
        </w:sectPr>
      </w:pPr>
    </w:p>
    <w:p w:rsidR="005A5B1D" w:rsidRPr="00925B28" w:rsidRDefault="005A5B1D" w:rsidP="00DC0870">
      <w:pPr>
        <w:pStyle w:val="Cmsor1"/>
        <w:jc w:val="center"/>
        <w:rPr>
          <w:sz w:val="22"/>
          <w:szCs w:val="22"/>
        </w:rPr>
        <w:sectPr w:rsidR="005A5B1D" w:rsidRPr="00925B28" w:rsidSect="005A5B1D">
          <w:type w:val="continuous"/>
          <w:pgSz w:w="11906" w:h="16838"/>
          <w:pgMar w:top="47" w:right="851" w:bottom="851" w:left="851" w:header="709" w:footer="366" w:gutter="0"/>
          <w:cols w:space="708"/>
          <w:docGrid w:linePitch="360"/>
        </w:sectPr>
      </w:pPr>
    </w:p>
    <w:tbl>
      <w:tblPr>
        <w:tblW w:w="10204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017A0">
        <w:trPr>
          <w:trHeight w:val="8214"/>
          <w:tblCellSpacing w:w="0" w:type="dxa"/>
        </w:trPr>
        <w:tc>
          <w:tcPr>
            <w:tcW w:w="0" w:type="auto"/>
            <w:tcBorders>
              <w:top w:val="single" w:sz="4" w:space="0" w:color="D0E8BF"/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tbl>
            <w:tblPr>
              <w:tblW w:w="9639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Look w:val="01E0" w:firstRow="1" w:lastRow="1" w:firstColumn="1" w:lastColumn="1" w:noHBand="0" w:noVBand="0"/>
            </w:tblPr>
            <w:tblGrid>
              <w:gridCol w:w="4252"/>
              <w:gridCol w:w="5387"/>
            </w:tblGrid>
            <w:tr w:rsidR="008D73DC" w:rsidRPr="00925B28" w:rsidTr="00DC0870">
              <w:trPr>
                <w:trHeight w:val="181"/>
              </w:trPr>
              <w:tc>
                <w:tcPr>
                  <w:tcW w:w="4252" w:type="dxa"/>
                  <w:shd w:val="clear" w:color="auto" w:fill="D0E8BF"/>
                  <w:vAlign w:val="center"/>
                </w:tcPr>
                <w:p w:rsidR="008D73DC" w:rsidRPr="00925B28" w:rsidRDefault="008D73DC" w:rsidP="00DC0870">
                  <w:pPr>
                    <w:pStyle w:val="Cmsor1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25B28">
                    <w:rPr>
                      <w:sz w:val="22"/>
                      <w:szCs w:val="22"/>
                    </w:rPr>
                    <w:lastRenderedPageBreak/>
                    <w:t>Kedvezményes díjtétel</w:t>
                  </w:r>
                </w:p>
              </w:tc>
              <w:tc>
                <w:tcPr>
                  <w:tcW w:w="5387" w:type="dxa"/>
                  <w:shd w:val="clear" w:color="auto" w:fill="D0E8BF"/>
                  <w:vAlign w:val="center"/>
                </w:tcPr>
                <w:p w:rsidR="008D73DC" w:rsidRPr="00925B28" w:rsidRDefault="008D73DC" w:rsidP="00DC0870">
                  <w:pPr>
                    <w:pStyle w:val="Cmsor1"/>
                    <w:jc w:val="center"/>
                    <w:rPr>
                      <w:sz w:val="22"/>
                      <w:szCs w:val="22"/>
                    </w:rPr>
                  </w:pPr>
                  <w:r w:rsidRPr="00925B28">
                    <w:rPr>
                      <w:sz w:val="22"/>
                      <w:szCs w:val="22"/>
                    </w:rPr>
                    <w:t>Kedvezmény mértéke</w:t>
                  </w:r>
                </w:p>
              </w:tc>
            </w:tr>
            <w:tr w:rsidR="005A5B1D" w:rsidRPr="00925B28" w:rsidTr="00DC0870">
              <w:trPr>
                <w:trHeight w:val="264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:rsidR="005A5B1D" w:rsidRPr="00FC769D" w:rsidRDefault="00FC769D" w:rsidP="008D56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 xml:space="preserve">Dolgos betét (2016.05.24-ig indított betétek esetén) 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</w:rPr>
                    <w:t>– 4 hónapos futamidejű, a futamidő alatt változó kamatozású, jegybanki alapkamathoz kötött</w:t>
                  </w: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 xml:space="preserve"> </w:t>
                  </w:r>
                  <w:r w:rsidR="005A5B1D" w:rsidRPr="00FC769D">
                    <w:rPr>
                      <w:rFonts w:ascii="Times New Roman" w:hAnsi="Times New Roman"/>
                      <w:i/>
                    </w:rPr>
                    <w:t>betét</w:t>
                  </w:r>
                  <w:r w:rsidR="005A5B1D" w:rsidRPr="00FC769D">
                    <w:rPr>
                      <w:rStyle w:val="Lbjegyzet-hivatkozs"/>
                      <w:rFonts w:ascii="Times New Roman" w:hAnsi="Times New Roman"/>
                      <w:i/>
                    </w:rPr>
                    <w:footnoteReference w:customMarkFollows="1" w:id="5"/>
                    <w:t>2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FC769D" w:rsidRPr="00FC769D" w:rsidRDefault="00FC769D" w:rsidP="00FC769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 xml:space="preserve">Kamat mértéke: 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</w:rPr>
                    <w:t xml:space="preserve">4 hónapos lekötésre mindenkori jegybanki alapkamat -1,00 % (összeghatártól függetlenül). </w:t>
                  </w: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>Jelenleg évi 0,01% (EBKM: 0,01%)</w:t>
                  </w:r>
                </w:p>
                <w:p w:rsidR="00D017A0" w:rsidRDefault="007D4A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>Lekötési minimum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</w:rPr>
                    <w:t>: 100.000 Ft</w:t>
                  </w:r>
                </w:p>
              </w:tc>
            </w:tr>
            <w:tr w:rsidR="00FC769D" w:rsidRPr="00925B28" w:rsidTr="00DC0870">
              <w:trPr>
                <w:trHeight w:val="264"/>
              </w:trPr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769D" w:rsidRPr="00FC769D" w:rsidRDefault="00FC769D" w:rsidP="00FC7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 xml:space="preserve">Dolgos betét (2016.05.25-től induló betétek esetén) 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</w:rPr>
                    <w:t>– 4 hónapos futamidejű, a futamidő alatt változó kamatozású, jegybanki alapkamathoz kötött betét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  <w:vertAlign w:val="superscript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769D" w:rsidRPr="00FC769D" w:rsidRDefault="00FC769D" w:rsidP="00FC769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>Kamat mértéke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</w:rPr>
                    <w:t xml:space="preserve">: 4 hónapos lekötésre mindenkori jegybanki alapkamat -0,8 % (összeghatártól függetlenül). </w:t>
                  </w: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>Jelenleg évi 0,10% (EBKM: 0,10%)</w:t>
                  </w:r>
                </w:p>
                <w:p w:rsidR="00FC769D" w:rsidRPr="00FC769D" w:rsidRDefault="00FC769D" w:rsidP="00FC76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69D">
                    <w:rPr>
                      <w:rFonts w:ascii="Times New Roman" w:hAnsi="Times New Roman"/>
                      <w:b/>
                      <w:i/>
                      <w:highlight w:val="yellow"/>
                    </w:rPr>
                    <w:t>Lekötési minimum:</w:t>
                  </w:r>
                  <w:r w:rsidRPr="00FC769D">
                    <w:rPr>
                      <w:rFonts w:ascii="Times New Roman" w:hAnsi="Times New Roman"/>
                      <w:i/>
                      <w:highlight w:val="yellow"/>
                    </w:rPr>
                    <w:t xml:space="preserve"> 100.000 Ft</w:t>
                  </w:r>
                </w:p>
              </w:tc>
            </w:tr>
            <w:tr w:rsidR="008D73DC" w:rsidRPr="00925B28" w:rsidTr="00DC0870">
              <w:trPr>
                <w:trHeight w:val="264"/>
              </w:trPr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25B28">
                    <w:rPr>
                      <w:rFonts w:ascii="Times New Roman" w:hAnsi="Times New Roman"/>
                      <w:b/>
                    </w:rPr>
                    <w:t>Sajátkártya igénylés esetén a képelhelyezés díja</w:t>
                  </w:r>
                  <w:r w:rsidRPr="00925B28">
                    <w:rPr>
                      <w:rStyle w:val="Lbjegyzet-hivatkozs"/>
                      <w:rFonts w:ascii="Times New Roman" w:hAnsi="Times New Roman"/>
                      <w:b/>
                    </w:rPr>
                    <w:footnoteReference w:id="6"/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5B28">
                    <w:rPr>
                      <w:rFonts w:ascii="Times New Roman" w:hAnsi="Times New Roman"/>
                    </w:rPr>
                    <w:t>100%</w:t>
                  </w:r>
                </w:p>
              </w:tc>
            </w:tr>
            <w:tr w:rsidR="008D73DC" w:rsidRPr="00925B28" w:rsidTr="00DC0870">
              <w:trPr>
                <w:trHeight w:val="264"/>
              </w:trPr>
              <w:tc>
                <w:tcPr>
                  <w:tcW w:w="425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25B28">
                    <w:rPr>
                      <w:rFonts w:ascii="Times New Roman" w:hAnsi="Times New Roman"/>
                      <w:b/>
                    </w:rPr>
                    <w:t>Lakás és jelzálog típusú hitelek igénylése esetén</w:t>
                  </w:r>
                  <w:r w:rsidRPr="00925B28">
                    <w:rPr>
                      <w:rStyle w:val="Lbjegyzet-hivatkozs"/>
                      <w:rFonts w:ascii="Times New Roman" w:hAnsi="Times New Roman"/>
                      <w:b/>
                    </w:rPr>
                    <w:footnoteReference w:id="7"/>
                  </w:r>
                  <w:r w:rsidRPr="00925B2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73DC" w:rsidRPr="00925B28" w:rsidTr="00DC0870">
              <w:trPr>
                <w:trHeight w:val="264"/>
              </w:trPr>
              <w:tc>
                <w:tcPr>
                  <w:tcW w:w="425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pStyle w:val="Cmsor2"/>
                    <w:keepLines/>
                    <w:ind w:left="317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5B2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10 millió Ft alatti szerződött hitelösszeg esetén</w:t>
                  </w:r>
                </w:p>
              </w:tc>
              <w:tc>
                <w:tcPr>
                  <w:tcW w:w="538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Hitelbiztosítéki-értékmegállapítási díj 50%-át az OTP Bank Nyrt./OTP Jelzálogbank Zrt. a </w:t>
                  </w:r>
                  <w:r w:rsidR="00E83199"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szerződéskötést követően 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visszatéríti (1 ingatlan tekintetében). </w:t>
                  </w:r>
                </w:p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A Fedezetkezelési költség és az Ügyintézési díj, valamint a Folyósítási díj 50%-át nem kell megfizetni, a Közjegyzői díj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  <w:vertAlign w:val="superscript"/>
                    </w:rPr>
                    <w:t xml:space="preserve"> 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50%-át az OTP Bank Nyrt./OTP Jelzálogbank Zrt. fizeti meg.</w:t>
                  </w:r>
                </w:p>
              </w:tc>
            </w:tr>
            <w:tr w:rsidR="008D73DC" w:rsidRPr="00925B28" w:rsidTr="00DC0870">
              <w:trPr>
                <w:trHeight w:val="264"/>
              </w:trPr>
              <w:tc>
                <w:tcPr>
                  <w:tcW w:w="425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pStyle w:val="Cmsor2"/>
                    <w:keepLines/>
                    <w:ind w:left="317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5B2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10 millió Ft és a feletti szerződött hitelösszeg esetén</w:t>
                  </w:r>
                </w:p>
              </w:tc>
              <w:tc>
                <w:tcPr>
                  <w:tcW w:w="538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A Hitelbiztosítéki-értékmegállapítási díj 50%-át az OTP Bank Nyrt./OTP Jelzálogbank Zrt. a </w:t>
                  </w:r>
                  <w:r w:rsidR="00E83199"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szerződéskötést követően 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visszatéríti (1 ingatlan tekintetében).</w:t>
                  </w:r>
                </w:p>
                <w:p w:rsidR="008D73DC" w:rsidRPr="00925B28" w:rsidRDefault="008D73DC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A Fedezetkezelési költség és</w:t>
                  </w:r>
                  <w:r w:rsidR="00E83199"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 az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 xml:space="preserve"> Ügyintézési díj 50%-át, valamint Folyósítási díj 100%-át nem kell megfizetni, a Közjegyzői díj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  <w:vertAlign w:val="superscript"/>
                    </w:rPr>
                    <w:t xml:space="preserve"> </w:t>
                  </w: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100%-át az OTP Bank Nyrt./OTP Jelzálogbank Zrt. fizeti meg.</w:t>
                  </w:r>
                </w:p>
              </w:tc>
            </w:tr>
            <w:tr w:rsidR="00B935E2" w:rsidRPr="00925B28" w:rsidTr="00DC0870">
              <w:trPr>
                <w:trHeight w:val="264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:rsidR="00B935E2" w:rsidRPr="00925B28" w:rsidRDefault="00B935E2" w:rsidP="0023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25B28">
                    <w:rPr>
                      <w:rFonts w:ascii="Times New Roman" w:hAnsi="Times New Roman"/>
                      <w:b/>
                    </w:rPr>
                    <w:t xml:space="preserve">OTP Travel utazási </w:t>
                  </w:r>
                  <w:r w:rsidR="00232779" w:rsidRPr="00925B28">
                    <w:rPr>
                      <w:rFonts w:ascii="Times New Roman" w:hAnsi="Times New Roman"/>
                      <w:b/>
                    </w:rPr>
                    <w:t>utalvány</w:t>
                  </w:r>
                  <w:r w:rsidR="00232779" w:rsidRPr="00925B28">
                    <w:rPr>
                      <w:rFonts w:ascii="Times New Roman" w:hAnsi="Times New Roman"/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B935E2" w:rsidRPr="00925B28" w:rsidRDefault="00B935E2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24.000 Ft</w:t>
                  </w:r>
                </w:p>
              </w:tc>
            </w:tr>
            <w:tr w:rsidR="00B935E2" w:rsidRPr="00925B28" w:rsidTr="00DC0870">
              <w:trPr>
                <w:trHeight w:val="264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:rsidR="00B935E2" w:rsidRPr="00925B28" w:rsidRDefault="00B935E2" w:rsidP="003568FE">
                  <w:pPr>
                    <w:pStyle w:val="Cmsor2"/>
                    <w:keepLines/>
                    <w:spacing w:before="0" w:after="0" w:line="240" w:lineRule="auto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925B28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 xml:space="preserve">OTP Lakástakarék szerződéskötés </w:t>
                  </w:r>
                  <w:r w:rsidR="00232779" w:rsidRPr="00925B28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esetén</w:t>
                  </w:r>
                  <w:r w:rsidR="00232779" w:rsidRPr="00925B28">
                    <w:rPr>
                      <w:rFonts w:ascii="Times New Roman" w:eastAsia="Calibri" w:hAnsi="Times New Roman"/>
                      <w:bCs w:val="0"/>
                      <w:i w:val="0"/>
                      <w:iCs w:val="0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B935E2" w:rsidRPr="00925B28" w:rsidRDefault="00B935E2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kedvezményes vagy díjmentes számlanyitás</w:t>
                  </w:r>
                </w:p>
              </w:tc>
            </w:tr>
            <w:tr w:rsidR="00534109" w:rsidRPr="00925B28" w:rsidTr="00DC0870">
              <w:trPr>
                <w:trHeight w:val="264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:rsidR="00534109" w:rsidRPr="00925B28" w:rsidRDefault="00534109" w:rsidP="003568FE">
                  <w:pPr>
                    <w:pStyle w:val="Cmsor2"/>
                    <w:keepLines/>
                    <w:spacing w:before="0" w:after="0" w:line="240" w:lineRule="auto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925B28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Személyi kölcsön igénylése esetén</w:t>
                  </w:r>
                  <w:r w:rsidRPr="00925B28">
                    <w:rPr>
                      <w:rFonts w:ascii="Times New Roman" w:hAnsi="Times New Roman"/>
                      <w:i w:val="0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534109" w:rsidRPr="00925B28" w:rsidRDefault="00534109" w:rsidP="00DC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kern w:val="24"/>
                    </w:rPr>
                  </w:pPr>
                  <w:r w:rsidRPr="00925B28">
                    <w:rPr>
                      <w:rFonts w:ascii="Times New Roman" w:hAnsi="Times New Roman"/>
                      <w:bCs/>
                      <w:kern w:val="24"/>
                    </w:rPr>
                    <w:t>100 bázispont kamatkedvezmény a mindenkori standard kamatból</w:t>
                  </w:r>
                </w:p>
              </w:tc>
            </w:tr>
          </w:tbl>
          <w:p w:rsidR="00FD1713" w:rsidRPr="00925B28" w:rsidRDefault="00FD1713" w:rsidP="001D6FB3">
            <w:pPr>
              <w:spacing w:line="240" w:lineRule="auto"/>
              <w:ind w:left="552" w:right="565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17A0">
        <w:trPr>
          <w:trHeight w:val="73"/>
          <w:tblCellSpacing w:w="0" w:type="dxa"/>
        </w:trPr>
        <w:tc>
          <w:tcPr>
            <w:tcW w:w="0" w:type="auto"/>
            <w:vAlign w:val="center"/>
            <w:hideMark/>
          </w:tcPr>
          <w:p w:rsidR="00FD1713" w:rsidRPr="00925B28" w:rsidRDefault="00FD1713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3020"/>
          <w:tblCellSpacing w:w="0" w:type="dxa"/>
        </w:trPr>
        <w:tc>
          <w:tcPr>
            <w:tcW w:w="0" w:type="auto"/>
            <w:tcBorders>
              <w:top w:val="single" w:sz="4" w:space="0" w:color="D0E8BF"/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FD1713" w:rsidRPr="00925B28" w:rsidRDefault="00FD1713" w:rsidP="00FD1713">
            <w:pPr>
              <w:pStyle w:val="Listaszerbekezds"/>
              <w:ind w:left="552" w:right="691"/>
              <w:jc w:val="both"/>
              <w:rPr>
                <w:sz w:val="22"/>
                <w:szCs w:val="22"/>
              </w:rPr>
            </w:pPr>
          </w:p>
          <w:p w:rsidR="00FD1713" w:rsidRPr="00925B28" w:rsidRDefault="00FD1713" w:rsidP="00EE5FB9">
            <w:pPr>
              <w:pStyle w:val="Listaszerbekezds"/>
              <w:spacing w:after="80"/>
              <w:ind w:left="550" w:right="692"/>
              <w:jc w:val="both"/>
            </w:pPr>
            <w:r w:rsidRPr="00925B28">
              <w:t>Lakás és Jelzálog típusú hitelek igénylése esetén, amennyiben az ügyfél</w:t>
            </w:r>
          </w:p>
          <w:p w:rsidR="00FD1713" w:rsidRPr="00925B28" w:rsidRDefault="00FD1713" w:rsidP="00EE5FB9">
            <w:pPr>
              <w:pStyle w:val="Listaszerbekezds"/>
              <w:numPr>
                <w:ilvl w:val="1"/>
                <w:numId w:val="38"/>
              </w:numPr>
              <w:ind w:left="1261" w:right="691"/>
              <w:jc w:val="both"/>
            </w:pPr>
            <w:r w:rsidRPr="00925B28">
              <w:t>a futamidő első három, 5 éves kamatperiódusú piaci feltételű forint alapú ingatlan fedezetű hitelek esetén első hat ügyleti évében végtörlesztést teljesít, vagy</w:t>
            </w:r>
          </w:p>
          <w:p w:rsidR="00FD1713" w:rsidRPr="00925B28" w:rsidRDefault="00FD1713" w:rsidP="00EE5FB9">
            <w:pPr>
              <w:pStyle w:val="Listaszerbekezds"/>
              <w:numPr>
                <w:ilvl w:val="1"/>
                <w:numId w:val="38"/>
              </w:numPr>
              <w:ind w:left="1261" w:right="691"/>
              <w:jc w:val="both"/>
            </w:pPr>
            <w:r w:rsidRPr="00925B28">
              <w:t>a futamidő első három, 5 éves kamatperiódusú piaci feltételű forint alapú ingatlan fedezetű hitelek esetén első hat ügyleti évében előtörlesztés(eke)t teljesít, amely(ek) együttes összege által az aktuális tőketartozás a folyósított hitel összegének 50 %-a alá csökken, vagy</w:t>
            </w:r>
          </w:p>
          <w:p w:rsidR="00FD1713" w:rsidRPr="00925B28" w:rsidRDefault="00FD1713" w:rsidP="00EE5FB9">
            <w:pPr>
              <w:pStyle w:val="Listaszerbekezds"/>
              <w:numPr>
                <w:ilvl w:val="1"/>
                <w:numId w:val="38"/>
              </w:numPr>
              <w:ind w:left="1261" w:right="691"/>
              <w:jc w:val="both"/>
            </w:pPr>
            <w:r w:rsidRPr="00925B28">
              <w:t>a rendelkezésre tartási időszak alatt a hitel folyósítása nem kezdődik meg, vagy</w:t>
            </w:r>
          </w:p>
          <w:p w:rsidR="00FD1713" w:rsidRPr="00925B28" w:rsidRDefault="00FD1713" w:rsidP="00EE5FB9">
            <w:pPr>
              <w:pStyle w:val="Listaszerbekezds"/>
              <w:numPr>
                <w:ilvl w:val="1"/>
                <w:numId w:val="38"/>
              </w:numPr>
              <w:ind w:left="1261" w:right="691"/>
              <w:jc w:val="both"/>
            </w:pPr>
            <w:r w:rsidRPr="00925B28">
              <w:t>a rendelkezésre tartási időszak alatt az ügyfél a kölcsön igénybe vételéről lemond,</w:t>
            </w:r>
          </w:p>
          <w:p w:rsidR="00FD1713" w:rsidRPr="00925B28" w:rsidRDefault="00FD1713" w:rsidP="00EE5FB9">
            <w:pPr>
              <w:spacing w:before="80" w:line="240" w:lineRule="auto"/>
              <w:ind w:left="550" w:right="567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valamennyi fentebb felsorolt kedvezményes, illetve akciós feltétellel megállapított kölcsön tekintetében köteles visszafizetni a hitelkérelem befogadásával, hitelbírálattal, szerződéskötéssel és folyósítással kapcsolatban meghirdetett akció, vagy kedvezmény keretében (kivéve a Full Extra konstrukcióhoz kapcsolódó díjkedvezményeket) az OTP Bank/OTP Jelzálogbank által elengedett, megfizetett, vagy visszatérített díjtételeket, </w:t>
            </w:r>
            <w:r w:rsidR="009D490A" w:rsidRPr="00925B28">
              <w:rPr>
                <w:rFonts w:ascii="Times New Roman" w:hAnsi="Times New Roman"/>
                <w:sz w:val="24"/>
                <w:szCs w:val="24"/>
              </w:rPr>
              <w:t>kivéve az OTP Lakástakarék Zrt. lakáselőtakarékossági számlanyitás díjkedvezménye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vagy a Groupama Garancia Zrt. életbiztosításából származó összeg átutalása alapján történő, vagy a bank által kötelezően előírt elő- vagy végtörlesztés esetét.</w:t>
            </w:r>
          </w:p>
        </w:tc>
      </w:tr>
    </w:tbl>
    <w:p w:rsidR="00FD1713" w:rsidRPr="00925B28" w:rsidRDefault="00FD1713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tbl>
      <w:tblPr>
        <w:tblW w:w="99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4"/>
      </w:tblGrid>
      <w:tr w:rsidR="00D017A0">
        <w:trPr>
          <w:trHeight w:val="14"/>
          <w:tblCellSpacing w:w="0" w:type="dxa"/>
        </w:trPr>
        <w:tc>
          <w:tcPr>
            <w:tcW w:w="0" w:type="auto"/>
            <w:vAlign w:val="center"/>
            <w:hideMark/>
          </w:tcPr>
          <w:p w:rsidR="00374BE2" w:rsidRPr="00925B28" w:rsidRDefault="00374BE2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14"/>
          <w:tblCellSpacing w:w="0" w:type="dxa"/>
        </w:trPr>
        <w:tc>
          <w:tcPr>
            <w:tcW w:w="0" w:type="auto"/>
            <w:shd w:val="clear" w:color="auto" w:fill="D1F0B2"/>
            <w:vAlign w:val="center"/>
            <w:hideMark/>
          </w:tcPr>
          <w:p w:rsidR="00374BE2" w:rsidRPr="00925B28" w:rsidRDefault="00374BE2" w:rsidP="001D6FB3">
            <w:pPr>
              <w:numPr>
                <w:ilvl w:val="0"/>
                <w:numId w:val="20"/>
              </w:numPr>
              <w:spacing w:before="120" w:after="120" w:line="240" w:lineRule="auto"/>
              <w:ind w:right="567"/>
              <w:rPr>
                <w:rFonts w:ascii="Arial" w:eastAsia="Times New Roman" w:hAnsi="Arial" w:cs="Arial"/>
                <w:color w:val="00634F"/>
                <w:sz w:val="20"/>
                <w:szCs w:val="20"/>
                <w:lang w:eastAsia="hu-HU"/>
              </w:rPr>
            </w:pPr>
            <w:r w:rsidRPr="00925B28">
              <w:rPr>
                <w:rFonts w:ascii="Times New Roman" w:hAnsi="Times New Roman"/>
                <w:b/>
                <w:color w:val="00634F"/>
                <w:sz w:val="24"/>
                <w:szCs w:val="24"/>
              </w:rPr>
              <w:t>A SZÁMLACSOMAGOKHOZ KAPCSOLT TERMÉKEK, SZOLGÁLTATÁSOK</w:t>
            </w:r>
          </w:p>
        </w:tc>
      </w:tr>
      <w:tr w:rsidR="00D017A0">
        <w:trPr>
          <w:trHeight w:val="4705"/>
          <w:tblCellSpacing w:w="0" w:type="dxa"/>
        </w:trPr>
        <w:tc>
          <w:tcPr>
            <w:tcW w:w="0" w:type="auto"/>
            <w:tcBorders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374BE2" w:rsidRPr="00925B28" w:rsidRDefault="00374BE2" w:rsidP="00374BE2">
            <w:pPr>
              <w:pStyle w:val="lfej"/>
              <w:tabs>
                <w:tab w:val="clear" w:pos="4536"/>
                <w:tab w:val="clear" w:pos="9072"/>
              </w:tabs>
              <w:ind w:left="132" w:right="691"/>
              <w:jc w:val="both"/>
            </w:pPr>
            <w:r w:rsidRPr="00925B28">
              <w:t xml:space="preserve">A munkáltatói ajánlat keretében igénybe vehető kedvezményes kártyák, szolgáltatások és termékek díjainak, költségeinek mértékei a mindenkor hatályos: 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 xml:space="preserve">a „Lakossági 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fizetési számlák (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bankszámlák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)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kamatairól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 xml:space="preserve"> és díjairól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” szóló Hirdetményben,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az OTPdirekt szolgáltatások Kondíciós Listájában,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 „Lakossági forint alapú kártyákról” szóló Hirdetményben,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 „Multipont kártyákról” szóló Hirdetményben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a „Hirdetmény a Lakáselőtakarékossági szerződéskötés folyamatos akcióiról” Hirdetményben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,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 w:rsidDel="00CD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28">
              <w:rPr>
                <w:rFonts w:ascii="Times New Roman" w:hAnsi="Times New Roman"/>
                <w:sz w:val="24"/>
                <w:szCs w:val="24"/>
              </w:rPr>
              <w:t>„Ingatlanfedezet mellett nyújtott jelzálog-típusú hitelek kamatáról, valamint díj- és költségtételeiről” Hirdetményben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„Az OTP Bank és OTP Jelzálogbank által nyújtott forint és deviza lakáshitelek kamat, díj, jutalék és költség tételeiről” Hirdetményben</w:t>
            </w:r>
            <w:r w:rsidR="00DD02AD" w:rsidRPr="00925B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4BE2" w:rsidRPr="00925B28" w:rsidRDefault="00374BE2" w:rsidP="00EE5FB9">
            <w:pPr>
              <w:numPr>
                <w:ilvl w:val="0"/>
                <w:numId w:val="34"/>
              </w:numPr>
              <w:spacing w:after="0" w:line="240" w:lineRule="auto"/>
              <w:ind w:right="5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sz w:val="24"/>
                <w:szCs w:val="24"/>
              </w:rPr>
              <w:t>„Az OTP Bank Személyi kölcsön termékének feltételeiről” szóló Hirdetményben találhatók meg.</w:t>
            </w:r>
          </w:p>
        </w:tc>
      </w:tr>
    </w:tbl>
    <w:p w:rsidR="00374BE2" w:rsidRPr="00925B28" w:rsidRDefault="00374BE2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tbl>
      <w:tblPr>
        <w:tblW w:w="10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017A0">
        <w:trPr>
          <w:trHeight w:val="56"/>
          <w:tblCellSpacing w:w="0" w:type="dxa"/>
        </w:trPr>
        <w:tc>
          <w:tcPr>
            <w:tcW w:w="0" w:type="auto"/>
            <w:vAlign w:val="center"/>
            <w:hideMark/>
          </w:tcPr>
          <w:p w:rsidR="003A1074" w:rsidRPr="00925B28" w:rsidRDefault="003A1074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E5FB9" w:rsidRPr="00925B28" w:rsidRDefault="00EE5FB9" w:rsidP="001D6FB3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017A0">
        <w:trPr>
          <w:trHeight w:val="2579"/>
          <w:tblCellSpacing w:w="0" w:type="dxa"/>
        </w:trPr>
        <w:tc>
          <w:tcPr>
            <w:tcW w:w="0" w:type="auto"/>
            <w:tcBorders>
              <w:top w:val="single" w:sz="4" w:space="0" w:color="D0E8BF"/>
              <w:left w:val="single" w:sz="6" w:space="0" w:color="D1F0B2"/>
              <w:bottom w:val="single" w:sz="4" w:space="0" w:color="D0E8BF"/>
              <w:right w:val="single" w:sz="6" w:space="0" w:color="D1F0B2"/>
            </w:tcBorders>
            <w:vAlign w:val="center"/>
            <w:hideMark/>
          </w:tcPr>
          <w:p w:rsidR="00EE5FB9" w:rsidRPr="00925B28" w:rsidRDefault="00EE5FB9" w:rsidP="00374BE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74BE2" w:rsidRPr="00925B28" w:rsidRDefault="000F7FB1" w:rsidP="00B07D84">
            <w:pPr>
              <w:spacing w:after="0" w:line="240" w:lineRule="auto"/>
              <w:ind w:left="552" w:right="55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5B28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6AB05CDC" wp14:editId="6AB05CDD">
                  <wp:simplePos x="0" y="0"/>
                  <wp:positionH relativeFrom="column">
                    <wp:posOffset>5958205</wp:posOffset>
                  </wp:positionH>
                  <wp:positionV relativeFrom="paragraph">
                    <wp:posOffset>757555</wp:posOffset>
                  </wp:positionV>
                  <wp:extent cx="382905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418" y="21077"/>
                      <wp:lineTo x="20418" y="0"/>
                      <wp:lineTo x="0" y="0"/>
                    </wp:wrapPolygon>
                  </wp:wrapTight>
                  <wp:docPr id="39" name="Kép 33" descr="Leírás: cid:image002.png@01CCF0B4.2408F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3" descr="Leírás: cid:image002.png@01CCF0B4.2408F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B28">
              <w:rPr>
                <w:rFonts w:ascii="Times New Roman" w:hAnsi="Times New Roman"/>
                <w:noProof/>
                <w:sz w:val="24"/>
                <w:szCs w:val="24"/>
              </w:rPr>
              <w:t>2006. szeptember 1-étől a lakossági betétekből származó kamatjövedelmet kamatadó, továbbá 2013. augusztus 1-étől EHO fizetési kötelezettség is terheli. A kamatadóra és az EHO-ra vonatkozó információkat „A lakossági betéti termékek után fizetendő adókról” szóló mindenkor hatályos tájékoztató tartalmazza.</w:t>
            </w:r>
          </w:p>
          <w:p w:rsidR="00B07D84" w:rsidRPr="00925B28" w:rsidRDefault="00B07D84" w:rsidP="00B07D84">
            <w:pPr>
              <w:spacing w:after="0" w:line="240" w:lineRule="auto"/>
              <w:ind w:left="552" w:right="55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74BE2" w:rsidRPr="00925B28" w:rsidRDefault="0048378B" w:rsidP="00C55A1B">
            <w:pPr>
              <w:spacing w:after="0" w:line="240" w:lineRule="auto"/>
              <w:ind w:left="552" w:right="5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B28">
              <w:rPr>
                <w:rFonts w:ascii="Times New Roman" w:hAnsi="Times New Roman"/>
                <w:noProof/>
                <w:sz w:val="24"/>
                <w:szCs w:val="24"/>
              </w:rPr>
              <w:t>A jelen hirdetményben szereplő betétek az Országos Betétbiztosítási Alap által biztosítottak. A betétbiztosításra vonatkozó részletes információkat az OTP Bank Általános Üzletszabályzata tartalmazza</w:t>
            </w:r>
          </w:p>
        </w:tc>
      </w:tr>
    </w:tbl>
    <w:p w:rsidR="00374BE2" w:rsidRPr="00925B28" w:rsidRDefault="00374BE2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7A73C5" w:rsidRPr="00925B28" w:rsidRDefault="007A73C5" w:rsidP="007A73C5">
      <w:pPr>
        <w:spacing w:before="120"/>
        <w:jc w:val="both"/>
        <w:rPr>
          <w:rFonts w:ascii="Times New Roman" w:hAnsi="Times New Roman"/>
        </w:rPr>
      </w:pPr>
      <w:r w:rsidRPr="00925B28">
        <w:rPr>
          <w:rFonts w:ascii="Times New Roman" w:hAnsi="Times New Roman"/>
          <w:b/>
          <w:sz w:val="24"/>
          <w:szCs w:val="24"/>
        </w:rPr>
        <w:t>Jelen hirdetmény hatályba lépésével egyidejűleg hatályát veszti a 201</w:t>
      </w:r>
      <w:r w:rsidR="004121CE" w:rsidRPr="00925B28">
        <w:rPr>
          <w:rFonts w:ascii="Times New Roman" w:hAnsi="Times New Roman"/>
          <w:b/>
          <w:sz w:val="24"/>
          <w:szCs w:val="24"/>
        </w:rPr>
        <w:t>6</w:t>
      </w:r>
      <w:r w:rsidRPr="00925B28">
        <w:rPr>
          <w:rFonts w:ascii="Times New Roman" w:hAnsi="Times New Roman"/>
          <w:b/>
          <w:sz w:val="24"/>
          <w:szCs w:val="24"/>
        </w:rPr>
        <w:t xml:space="preserve">. </w:t>
      </w:r>
      <w:r w:rsidR="00FC769D">
        <w:rPr>
          <w:rFonts w:ascii="Times New Roman" w:hAnsi="Times New Roman"/>
          <w:b/>
          <w:i/>
          <w:sz w:val="24"/>
          <w:szCs w:val="24"/>
          <w:highlight w:val="yellow"/>
        </w:rPr>
        <w:t>áprili</w:t>
      </w:r>
      <w:r w:rsidR="00FC769D" w:rsidRPr="00925B28">
        <w:rPr>
          <w:rFonts w:ascii="Times New Roman" w:hAnsi="Times New Roman"/>
          <w:b/>
          <w:i/>
          <w:sz w:val="24"/>
          <w:szCs w:val="24"/>
          <w:highlight w:val="yellow"/>
        </w:rPr>
        <w:t xml:space="preserve">s </w:t>
      </w:r>
      <w:r w:rsidR="00797399" w:rsidRPr="00925B28">
        <w:rPr>
          <w:rFonts w:ascii="Times New Roman" w:hAnsi="Times New Roman"/>
          <w:b/>
          <w:i/>
          <w:sz w:val="24"/>
          <w:szCs w:val="24"/>
        </w:rPr>
        <w:t>2</w:t>
      </w:r>
      <w:r w:rsidR="00FC769D">
        <w:rPr>
          <w:rFonts w:ascii="Times New Roman" w:hAnsi="Times New Roman"/>
          <w:b/>
          <w:i/>
          <w:sz w:val="24"/>
          <w:szCs w:val="24"/>
          <w:highlight w:val="yellow"/>
        </w:rPr>
        <w:t>7</w:t>
      </w:r>
      <w:r w:rsidRPr="00925B28">
        <w:rPr>
          <w:rFonts w:ascii="Times New Roman" w:hAnsi="Times New Roman"/>
          <w:b/>
          <w:i/>
          <w:sz w:val="24"/>
          <w:szCs w:val="24"/>
        </w:rPr>
        <w:t>-</w:t>
      </w:r>
      <w:r w:rsidR="00FC769D">
        <w:rPr>
          <w:rFonts w:ascii="Times New Roman" w:hAnsi="Times New Roman"/>
          <w:b/>
          <w:i/>
          <w:sz w:val="24"/>
          <w:szCs w:val="24"/>
          <w:highlight w:val="yellow"/>
        </w:rPr>
        <w:t>é</w:t>
      </w:r>
      <w:r w:rsidRPr="00925B28">
        <w:rPr>
          <w:rFonts w:ascii="Times New Roman" w:hAnsi="Times New Roman"/>
          <w:b/>
          <w:i/>
          <w:sz w:val="24"/>
          <w:szCs w:val="24"/>
        </w:rPr>
        <w:t>n</w:t>
      </w:r>
      <w:r w:rsidRPr="00925B28">
        <w:rPr>
          <w:rFonts w:ascii="Times New Roman" w:hAnsi="Times New Roman"/>
          <w:b/>
          <w:sz w:val="24"/>
          <w:szCs w:val="24"/>
        </w:rPr>
        <w:t xml:space="preserve"> közzétett, és 201</w:t>
      </w:r>
      <w:r w:rsidR="004121CE" w:rsidRPr="00925B28">
        <w:rPr>
          <w:rFonts w:ascii="Times New Roman" w:hAnsi="Times New Roman"/>
          <w:b/>
          <w:sz w:val="24"/>
          <w:szCs w:val="24"/>
        </w:rPr>
        <w:t>6</w:t>
      </w:r>
      <w:r w:rsidRPr="00925B28">
        <w:rPr>
          <w:rFonts w:ascii="Times New Roman" w:hAnsi="Times New Roman"/>
          <w:b/>
          <w:sz w:val="24"/>
          <w:szCs w:val="24"/>
        </w:rPr>
        <w:t xml:space="preserve">. </w:t>
      </w:r>
      <w:r w:rsidR="00FC769D">
        <w:rPr>
          <w:rFonts w:ascii="Times New Roman" w:hAnsi="Times New Roman"/>
          <w:b/>
          <w:i/>
          <w:sz w:val="24"/>
          <w:szCs w:val="24"/>
          <w:highlight w:val="yellow"/>
        </w:rPr>
        <w:t>áprili</w:t>
      </w:r>
      <w:r w:rsidR="00FC769D" w:rsidRPr="00925B28">
        <w:rPr>
          <w:rFonts w:ascii="Times New Roman" w:hAnsi="Times New Roman"/>
          <w:b/>
          <w:i/>
          <w:sz w:val="24"/>
          <w:szCs w:val="24"/>
          <w:highlight w:val="yellow"/>
        </w:rPr>
        <w:t xml:space="preserve">s </w:t>
      </w:r>
      <w:r w:rsidR="00797399" w:rsidRPr="00925B28">
        <w:rPr>
          <w:rFonts w:ascii="Times New Roman" w:hAnsi="Times New Roman"/>
          <w:b/>
          <w:i/>
          <w:sz w:val="24"/>
          <w:szCs w:val="24"/>
        </w:rPr>
        <w:t>2</w:t>
      </w:r>
      <w:r w:rsidR="00FC769D">
        <w:rPr>
          <w:rFonts w:ascii="Times New Roman" w:hAnsi="Times New Roman"/>
          <w:b/>
          <w:i/>
          <w:sz w:val="24"/>
          <w:szCs w:val="24"/>
          <w:highlight w:val="yellow"/>
        </w:rPr>
        <w:t>7</w:t>
      </w:r>
      <w:r w:rsidRPr="00925B28">
        <w:rPr>
          <w:rFonts w:ascii="Times New Roman" w:hAnsi="Times New Roman"/>
          <w:b/>
          <w:i/>
          <w:sz w:val="24"/>
          <w:szCs w:val="24"/>
        </w:rPr>
        <w:t>-t</w:t>
      </w:r>
      <w:r w:rsidR="00FC769D">
        <w:rPr>
          <w:rFonts w:ascii="Times New Roman" w:hAnsi="Times New Roman"/>
          <w:b/>
          <w:i/>
          <w:sz w:val="24"/>
          <w:szCs w:val="24"/>
          <w:highlight w:val="yellow"/>
        </w:rPr>
        <w:t>ő</w:t>
      </w:r>
      <w:r w:rsidRPr="00925B28">
        <w:rPr>
          <w:rFonts w:ascii="Times New Roman" w:hAnsi="Times New Roman"/>
          <w:b/>
          <w:i/>
          <w:sz w:val="24"/>
          <w:szCs w:val="24"/>
        </w:rPr>
        <w:t>l</w:t>
      </w:r>
      <w:r w:rsidRPr="00925B28">
        <w:rPr>
          <w:rFonts w:ascii="Times New Roman" w:hAnsi="Times New Roman"/>
          <w:b/>
          <w:sz w:val="24"/>
          <w:szCs w:val="24"/>
        </w:rPr>
        <w:t xml:space="preserve"> hatályos HIRDETMÉNY a munkáltatói Platina ajánlatról</w:t>
      </w:r>
      <w:r w:rsidR="008A491A" w:rsidRPr="00925B28">
        <w:rPr>
          <w:rFonts w:ascii="Times New Roman" w:hAnsi="Times New Roman"/>
          <w:b/>
          <w:sz w:val="24"/>
          <w:szCs w:val="24"/>
        </w:rPr>
        <w:t xml:space="preserve"> szakszervezeti tag ügyfelek számára</w:t>
      </w:r>
      <w:r w:rsidRPr="00925B28">
        <w:rPr>
          <w:rFonts w:ascii="Times New Roman" w:hAnsi="Times New Roman"/>
          <w:b/>
          <w:sz w:val="24"/>
          <w:szCs w:val="24"/>
        </w:rPr>
        <w:t>.</w:t>
      </w:r>
    </w:p>
    <w:p w:rsidR="005A5B1D" w:rsidRPr="00925B28" w:rsidRDefault="004121CE" w:rsidP="007A73C5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925B28">
        <w:rPr>
          <w:rFonts w:ascii="Times New Roman" w:hAnsi="Times New Roman"/>
          <w:i/>
          <w:sz w:val="24"/>
          <w:szCs w:val="24"/>
        </w:rPr>
        <w:t xml:space="preserve">A hirdetmény módosítását a 2016. </w:t>
      </w:r>
      <w:r w:rsidR="00FC769D">
        <w:rPr>
          <w:rFonts w:ascii="Times New Roman" w:hAnsi="Times New Roman"/>
          <w:i/>
          <w:sz w:val="24"/>
          <w:szCs w:val="24"/>
          <w:highlight w:val="yellow"/>
        </w:rPr>
        <w:t>május</w:t>
      </w:r>
      <w:r w:rsidR="00FC769D" w:rsidRPr="00925B28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925B28">
        <w:rPr>
          <w:rFonts w:ascii="Times New Roman" w:hAnsi="Times New Roman"/>
          <w:i/>
          <w:sz w:val="24"/>
          <w:szCs w:val="24"/>
        </w:rPr>
        <w:t>2</w:t>
      </w:r>
      <w:r w:rsidR="00FC769D">
        <w:rPr>
          <w:rFonts w:ascii="Times New Roman" w:hAnsi="Times New Roman"/>
          <w:i/>
          <w:sz w:val="24"/>
          <w:szCs w:val="24"/>
          <w:highlight w:val="yellow"/>
        </w:rPr>
        <w:t>5</w:t>
      </w:r>
      <w:r w:rsidRPr="00925B28">
        <w:rPr>
          <w:rFonts w:ascii="Times New Roman" w:hAnsi="Times New Roman"/>
          <w:i/>
          <w:sz w:val="24"/>
          <w:szCs w:val="24"/>
        </w:rPr>
        <w:t>-i jegybanki alapkamat csökkenés indokolja.</w:t>
      </w:r>
    </w:p>
    <w:p w:rsidR="00DC78AF" w:rsidRPr="004121CE" w:rsidRDefault="00DC78AF" w:rsidP="00DC78A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25B28">
        <w:rPr>
          <w:rFonts w:ascii="Times New Roman" w:hAnsi="Times New Roman"/>
          <w:sz w:val="24"/>
          <w:szCs w:val="24"/>
        </w:rPr>
        <w:t>A hirdetményben történt módosítások dőlt betűvel kerültek feltüntetésre.</w:t>
      </w:r>
    </w:p>
    <w:p w:rsidR="003A1074" w:rsidRPr="004121CE" w:rsidRDefault="003A1074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p w:rsidR="00374BE2" w:rsidRPr="004121CE" w:rsidRDefault="00374BE2" w:rsidP="00B82AAC">
      <w:pPr>
        <w:spacing w:line="240" w:lineRule="auto"/>
        <w:ind w:right="565"/>
        <w:rPr>
          <w:rFonts w:ascii="Arial" w:hAnsi="Arial" w:cs="Arial"/>
          <w:sz w:val="20"/>
          <w:szCs w:val="20"/>
        </w:rPr>
      </w:pPr>
    </w:p>
    <w:sectPr w:rsidR="00374BE2" w:rsidRPr="004121CE" w:rsidSect="005A5B1D">
      <w:footnotePr>
        <w:numStart w:val="2"/>
      </w:footnotePr>
      <w:type w:val="continuous"/>
      <w:pgSz w:w="11906" w:h="16838"/>
      <w:pgMar w:top="47" w:right="851" w:bottom="851" w:left="851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F2" w:rsidRDefault="00530CF2" w:rsidP="005511E2">
      <w:pPr>
        <w:spacing w:after="0" w:line="240" w:lineRule="auto"/>
      </w:pPr>
      <w:r>
        <w:separator/>
      </w:r>
    </w:p>
  </w:endnote>
  <w:endnote w:type="continuationSeparator" w:id="0">
    <w:p w:rsidR="00530CF2" w:rsidRDefault="00530CF2" w:rsidP="0055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A" w:rsidRDefault="007A16E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27722">
      <w:rPr>
        <w:noProof/>
      </w:rPr>
      <w:t>1</w:t>
    </w:r>
    <w:r>
      <w:fldChar w:fldCharType="end"/>
    </w:r>
  </w:p>
  <w:p w:rsidR="005C3C4A" w:rsidRPr="006E6ACF" w:rsidRDefault="004D148E" w:rsidP="006E6ACF">
    <w:pPr>
      <w:rPr>
        <w:b/>
        <w:color w:val="00660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6AB05CFD" wp14:editId="6AB05CFE">
              <wp:simplePos x="0" y="0"/>
              <wp:positionH relativeFrom="column">
                <wp:posOffset>506095</wp:posOffset>
              </wp:positionH>
              <wp:positionV relativeFrom="paragraph">
                <wp:posOffset>10244455</wp:posOffset>
              </wp:positionV>
              <wp:extent cx="3247390" cy="254635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254635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6ACF" w:rsidRPr="00765A2D" w:rsidRDefault="006E6ACF" w:rsidP="006E6ACF">
                          <w:pPr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00"/>
                            </w:rPr>
                            <w:t>Közzététel: 2013. július 12</w:t>
                          </w:r>
                          <w:r w:rsidRPr="00765A2D">
                            <w:rPr>
                              <w:rFonts w:ascii="Arial" w:hAnsi="Arial" w:cs="Arial"/>
                              <w:b/>
                              <w:color w:val="0066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5CF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85pt;margin-top:806.65pt;width:255.7pt;height:20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" o:allowincell="f" fillcolor="#d6e3bc" stroked="f" strokecolor="#c2d69b" strokeweight="1pt">
              <v:shadow color="#4e6128" opacity=".5" offset="1pt"/>
              <v:textbox>
                <w:txbxContent>
                  <w:p w:rsidR="006E6ACF" w:rsidRPr="00765A2D" w:rsidRDefault="006E6ACF" w:rsidP="006E6ACF">
                    <w:pPr>
                      <w:rPr>
                        <w:b/>
                        <w:color w:val="006600"/>
                      </w:rPr>
                    </w:pPr>
                    <w:r>
                      <w:rPr>
                        <w:rFonts w:ascii="Arial" w:hAnsi="Arial" w:cs="Arial"/>
                        <w:b/>
                        <w:color w:val="006600"/>
                      </w:rPr>
                      <w:t>Közzététel: 2013. július 12</w:t>
                    </w:r>
                    <w:r w:rsidRPr="00765A2D">
                      <w:rPr>
                        <w:rFonts w:ascii="Arial" w:hAnsi="Arial" w:cs="Arial"/>
                        <w:b/>
                        <w:color w:val="0066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AB05CFF" wp14:editId="6AB05D00">
              <wp:simplePos x="0" y="0"/>
              <wp:positionH relativeFrom="column">
                <wp:posOffset>506095</wp:posOffset>
              </wp:positionH>
              <wp:positionV relativeFrom="paragraph">
                <wp:posOffset>10244455</wp:posOffset>
              </wp:positionV>
              <wp:extent cx="3247390" cy="254635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254635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6ACF" w:rsidRPr="00765A2D" w:rsidRDefault="006E6ACF" w:rsidP="006E6ACF">
                          <w:pPr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00"/>
                            </w:rPr>
                            <w:t>Közzététel: 2013. július 12</w:t>
                          </w:r>
                          <w:r w:rsidRPr="00765A2D">
                            <w:rPr>
                              <w:rFonts w:ascii="Arial" w:hAnsi="Arial" w:cs="Arial"/>
                              <w:b/>
                              <w:color w:val="0066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05CFF" id="_x0000_s1027" type="#_x0000_t202" style="position:absolute;margin-left:39.85pt;margin-top:806.65pt;width:255.7pt;height:2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" o:allowincell="f" fillcolor="#d6e3bc" stroked="f" strokecolor="#c2d69b" strokeweight="1pt">
              <v:shadow color="#4e6128" opacity=".5" offset="1pt"/>
              <v:textbox>
                <w:txbxContent>
                  <w:p w:rsidR="006E6ACF" w:rsidRPr="00765A2D" w:rsidRDefault="006E6ACF" w:rsidP="006E6ACF">
                    <w:pPr>
                      <w:rPr>
                        <w:b/>
                        <w:color w:val="006600"/>
                      </w:rPr>
                    </w:pPr>
                    <w:r>
                      <w:rPr>
                        <w:rFonts w:ascii="Arial" w:hAnsi="Arial" w:cs="Arial"/>
                        <w:b/>
                        <w:color w:val="006600"/>
                      </w:rPr>
                      <w:t>Közzététel: 2013. július 12</w:t>
                    </w:r>
                    <w:r w:rsidRPr="00765A2D">
                      <w:rPr>
                        <w:rFonts w:ascii="Arial" w:hAnsi="Arial" w:cs="Arial"/>
                        <w:b/>
                        <w:color w:val="0066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6E6ACF" w:rsidRPr="00A874D0">
      <w:rPr>
        <w:rFonts w:ascii="Arial" w:hAnsi="Arial" w:cs="Arial"/>
        <w:b/>
        <w:color w:val="006600"/>
      </w:rPr>
      <w:t xml:space="preserve"> </w:t>
    </w:r>
    <w:r w:rsidR="006E6ACF">
      <w:rPr>
        <w:rFonts w:ascii="Arial" w:hAnsi="Arial" w:cs="Arial"/>
        <w:b/>
        <w:color w:val="006600"/>
      </w:rPr>
      <w:t>Közzét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9472" behindDoc="0" locked="0" layoutInCell="0" allowOverlap="1" wp14:anchorId="6AB05D01" wp14:editId="6AB05D02">
              <wp:simplePos x="0" y="0"/>
              <wp:positionH relativeFrom="column">
                <wp:posOffset>506095</wp:posOffset>
              </wp:positionH>
              <wp:positionV relativeFrom="paragraph">
                <wp:posOffset>10244455</wp:posOffset>
              </wp:positionV>
              <wp:extent cx="3247390" cy="254635"/>
              <wp:effectExtent l="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254635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6ACF" w:rsidRPr="00765A2D" w:rsidRDefault="006E6ACF" w:rsidP="006E6ACF">
                          <w:pPr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00"/>
                            </w:rPr>
                            <w:t>Közzététel: 2013. július 12</w:t>
                          </w:r>
                          <w:r w:rsidRPr="00765A2D">
                            <w:rPr>
                              <w:rFonts w:ascii="Arial" w:hAnsi="Arial" w:cs="Arial"/>
                              <w:b/>
                              <w:color w:val="0066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05D01" id="_x0000_s1028" type="#_x0000_t202" style="position:absolute;margin-left:39.85pt;margin-top:806.65pt;width:255.7pt;height:20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" o:allowincell="f" fillcolor="#d6e3bc" stroked="f" strokecolor="#c2d69b" strokeweight="1pt">
              <v:shadow color="#4e6128" opacity=".5" offset="1pt"/>
              <v:textbox>
                <w:txbxContent>
                  <w:p w:rsidR="006E6ACF" w:rsidRPr="00765A2D" w:rsidRDefault="006E6ACF" w:rsidP="006E6ACF">
                    <w:pPr>
                      <w:rPr>
                        <w:b/>
                        <w:color w:val="006600"/>
                      </w:rPr>
                    </w:pPr>
                    <w:r>
                      <w:rPr>
                        <w:rFonts w:ascii="Arial" w:hAnsi="Arial" w:cs="Arial"/>
                        <w:b/>
                        <w:color w:val="006600"/>
                      </w:rPr>
                      <w:t>Közzététel: 2013. július 12</w:t>
                    </w:r>
                    <w:r w:rsidRPr="00765A2D">
                      <w:rPr>
                        <w:rFonts w:ascii="Arial" w:hAnsi="Arial" w:cs="Arial"/>
                        <w:b/>
                        <w:color w:val="0066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0139F0">
      <w:rPr>
        <w:rFonts w:ascii="Arial" w:hAnsi="Arial" w:cs="Arial"/>
        <w:b/>
        <w:color w:val="006600"/>
      </w:rPr>
      <w:t xml:space="preserve">étel: </w:t>
    </w:r>
    <w:r w:rsidR="000139F0" w:rsidRPr="00095426">
      <w:rPr>
        <w:rFonts w:ascii="Arial" w:hAnsi="Arial" w:cs="Arial"/>
        <w:b/>
        <w:i/>
        <w:color w:val="006600"/>
      </w:rPr>
      <w:t>201</w:t>
    </w:r>
    <w:r w:rsidR="00095426" w:rsidRPr="00095426">
      <w:rPr>
        <w:rFonts w:ascii="Arial" w:hAnsi="Arial" w:cs="Arial"/>
        <w:b/>
        <w:i/>
        <w:color w:val="006600"/>
      </w:rPr>
      <w:t>6</w:t>
    </w:r>
    <w:r w:rsidR="000139F0">
      <w:rPr>
        <w:rFonts w:ascii="Arial" w:hAnsi="Arial" w:cs="Arial"/>
        <w:b/>
        <w:color w:val="006600"/>
      </w:rPr>
      <w:t xml:space="preserve">. </w:t>
    </w:r>
    <w:r w:rsidR="008D014B">
      <w:rPr>
        <w:rFonts w:ascii="Arial" w:hAnsi="Arial" w:cs="Arial"/>
        <w:b/>
        <w:i/>
        <w:color w:val="006600"/>
      </w:rPr>
      <w:t>május</w:t>
    </w:r>
    <w:r w:rsidR="00232779" w:rsidRPr="00DC78AF">
      <w:rPr>
        <w:rFonts w:ascii="Arial" w:hAnsi="Arial" w:cs="Arial"/>
        <w:b/>
        <w:i/>
        <w:color w:val="006600"/>
      </w:rPr>
      <w:t xml:space="preserve"> </w:t>
    </w:r>
    <w:r w:rsidR="004121CE">
      <w:rPr>
        <w:rFonts w:ascii="Arial" w:hAnsi="Arial" w:cs="Arial"/>
        <w:b/>
        <w:i/>
        <w:color w:val="006600"/>
      </w:rPr>
      <w:t>2</w:t>
    </w:r>
    <w:r w:rsidR="008D014B">
      <w:rPr>
        <w:rFonts w:ascii="Arial" w:hAnsi="Arial" w:cs="Arial"/>
        <w:b/>
        <w:i/>
        <w:color w:val="006600"/>
      </w:rPr>
      <w:t>5</w:t>
    </w:r>
    <w:r w:rsidR="006A1BCE" w:rsidRPr="00DC78AF">
      <w:rPr>
        <w:rFonts w:ascii="Arial" w:hAnsi="Arial" w:cs="Arial"/>
        <w:b/>
        <w:i/>
        <w:color w:val="00660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4A" w:rsidRDefault="004D148E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B05D0B" wp14:editId="6AB05D0C">
              <wp:simplePos x="0" y="0"/>
              <wp:positionH relativeFrom="column">
                <wp:posOffset>78740</wp:posOffset>
              </wp:positionH>
              <wp:positionV relativeFrom="paragraph">
                <wp:posOffset>15240</wp:posOffset>
              </wp:positionV>
              <wp:extent cx="6372225" cy="0"/>
              <wp:effectExtent l="12065" t="5715" r="6985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58F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.2pt;margin-top:1.2pt;width:50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"/>
          </w:pict>
        </mc:Fallback>
      </mc:AlternateContent>
    </w:r>
    <w:r w:rsidR="005C3C4A">
      <w:fldChar w:fldCharType="begin"/>
    </w:r>
    <w:r w:rsidR="005C3C4A">
      <w:instrText>PAGE   \* MERGEFORMAT</w:instrText>
    </w:r>
    <w:r w:rsidR="005C3C4A">
      <w:fldChar w:fldCharType="separate"/>
    </w:r>
    <w:r w:rsidR="005C3C4A">
      <w:rPr>
        <w:noProof/>
      </w:rPr>
      <w:t>1</w:t>
    </w:r>
    <w:r w:rsidR="005C3C4A">
      <w:fldChar w:fldCharType="end"/>
    </w:r>
  </w:p>
  <w:p w:rsidR="005C3C4A" w:rsidRDefault="005C3C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F2" w:rsidRDefault="00530CF2" w:rsidP="005511E2">
      <w:pPr>
        <w:spacing w:after="0" w:line="240" w:lineRule="auto"/>
      </w:pPr>
      <w:r>
        <w:separator/>
      </w:r>
    </w:p>
  </w:footnote>
  <w:footnote w:type="continuationSeparator" w:id="0">
    <w:p w:rsidR="00530CF2" w:rsidRDefault="00530CF2" w:rsidP="005511E2">
      <w:pPr>
        <w:spacing w:after="0" w:line="240" w:lineRule="auto"/>
      </w:pPr>
      <w:r>
        <w:continuationSeparator/>
      </w:r>
    </w:p>
  </w:footnote>
  <w:footnote w:id="1">
    <w:p w:rsidR="006D43D3" w:rsidRPr="004D66AF" w:rsidRDefault="006D43D3" w:rsidP="006D43D3">
      <w:pPr>
        <w:pStyle w:val="Lbjegyzetszveg"/>
      </w:pPr>
      <w:r w:rsidRPr="004D66AF">
        <w:rPr>
          <w:rStyle w:val="Lbjegyzet-hivatkozs"/>
        </w:rPr>
        <w:footnoteRef/>
      </w:r>
      <w:r w:rsidRPr="004D66AF">
        <w:t xml:space="preserve"> Hónapnak a két zárlati nap közé eső időszakot tekintjük.</w:t>
      </w:r>
    </w:p>
  </w:footnote>
  <w:footnote w:id="2">
    <w:p w:rsidR="00A923B6" w:rsidRDefault="00A923B6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r w:rsidRPr="004D66AF">
        <w:t>Hónapnak a két zárlati nap közé eső időszakot tekintjük</w:t>
      </w:r>
      <w:r>
        <w:t>.</w:t>
      </w:r>
    </w:p>
  </w:footnote>
  <w:footnote w:id="3">
    <w:p w:rsidR="004D31CD" w:rsidRDefault="004D31CD" w:rsidP="004D31CD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r w:rsidRPr="004D66AF">
        <w:t>Hónapnak a két zárlati nap közé eső időszakot tekintjük</w:t>
      </w:r>
    </w:p>
  </w:footnote>
  <w:footnote w:id="4">
    <w:p w:rsidR="006E210A" w:rsidRDefault="006E210A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r w:rsidRPr="004D66AF">
        <w:t>Hónapnak a két zárlati nap közé eső időszakot tekintjük</w:t>
      </w:r>
    </w:p>
  </w:footnote>
  <w:footnote w:id="5">
    <w:p w:rsidR="005A5B1D" w:rsidRPr="00A85BCF" w:rsidRDefault="005A5B1D" w:rsidP="00E263C3">
      <w:pPr>
        <w:pStyle w:val="Lbjegyzetszveg"/>
        <w:jc w:val="both"/>
      </w:pPr>
      <w:r w:rsidRPr="00A85BCF">
        <w:rPr>
          <w:rStyle w:val="Lbjegyzet-hivatkozs"/>
        </w:rPr>
        <w:t>2</w:t>
      </w:r>
      <w:r w:rsidRPr="00A85BCF">
        <w:t xml:space="preserve"> Kizárólag az OTPdirekt internetes szolgáltatáson keresztül elérhető betétlekötés lehetőség. A Dolgos betétre irányuló betétlekötés bankfiókban és Call-Centeren keresztül nem indítható. Kizárólag </w:t>
      </w:r>
      <w:r w:rsidRPr="007E0BB4">
        <w:t>Lakossági Munkáltatói Jump, Munkáltatói Tempó, Munkáltatói Net, Munkáltatói Prémium Plusz, Munkáltatói Elektronikus Számlacsomag, és Munkáltatói Forint folyószámla</w:t>
      </w:r>
      <w:r w:rsidRPr="00A85BCF">
        <w:t xml:space="preserve"> esetén vehető igénybe.</w:t>
      </w:r>
      <w:r w:rsidRPr="00270726">
        <w:t xml:space="preserve"> A Dolgos betétek kizárólag egyszeri lekötésre szóló megbízással indíthatók el.</w:t>
      </w:r>
    </w:p>
  </w:footnote>
  <w:footnote w:id="6">
    <w:p w:rsidR="008D73DC" w:rsidRPr="00EE5FB9" w:rsidRDefault="008D73DC" w:rsidP="008D73DC">
      <w:pPr>
        <w:pStyle w:val="Lbjegyzetszveg"/>
        <w:jc w:val="both"/>
      </w:pPr>
      <w:r w:rsidRPr="00EE5FB9">
        <w:rPr>
          <w:rStyle w:val="Lbjegyzet-hivatkozs"/>
        </w:rPr>
        <w:footnoteRef/>
      </w:r>
      <w:r w:rsidRPr="00EE5FB9">
        <w:t xml:space="preserve"> A kedvezmény biztosítása utólagos díjjóváírással történik jövedelmi, valamint az aktivitási feltételt is teljesítő ügyfelek esetében. Kizárólag a Lakossági Munkáltatói Jump, Munkáltatói Tempó, Munkáltatói Net, Munkáltatói Prémium Plusz, Munkáltatói Elektronikus Számlacsomag, és Munkáltatói Forint folyószámla esetén vehető igénybe.</w:t>
      </w:r>
    </w:p>
  </w:footnote>
  <w:footnote w:id="7">
    <w:p w:rsidR="008D73DC" w:rsidRDefault="008D73DC" w:rsidP="008D73DC">
      <w:pPr>
        <w:pStyle w:val="Lbjegyzetszveg"/>
        <w:jc w:val="both"/>
      </w:pPr>
      <w:r w:rsidRPr="00EE5FB9">
        <w:rPr>
          <w:rStyle w:val="Lbjegyzet-hivatkozs"/>
        </w:rPr>
        <w:footnoteRef/>
      </w:r>
      <w:r w:rsidRPr="00EE5FB9">
        <w:t xml:space="preserve"> A kedvezmények a 2013.július 15-től benyújtott hitelkérelmek esetén vehetők igénybe. A kedvezmények más ingatlanhitel akcióval nem vonhatók össze</w:t>
      </w:r>
      <w:r>
        <w:t>.</w:t>
      </w:r>
    </w:p>
    <w:p w:rsidR="008D73DC" w:rsidRPr="00270726" w:rsidRDefault="00232779" w:rsidP="008D73DC">
      <w:pPr>
        <w:pStyle w:val="Lbjegyzetszveg"/>
        <w:jc w:val="both"/>
      </w:pPr>
      <w:r w:rsidRPr="00270726">
        <w:rPr>
          <w:vertAlign w:val="superscript"/>
        </w:rPr>
        <w:t xml:space="preserve">5 </w:t>
      </w:r>
      <w:r w:rsidR="00374700" w:rsidRPr="003568FE">
        <w:t>A kuponok az OTP honlapon történő regisztrációt követően, elektronikus úton k</w:t>
      </w:r>
      <w:r w:rsidR="00374700" w:rsidRPr="00270726">
        <w:t xml:space="preserve">erülnek megküldésre. Az utalványok évente 1 alkalommal igényelhetőek és a kibocsátástól számított 2 évig használhatóak fel bármely, az OTP Travel által szervezett utazásra, akár akciósra is. Részletes feltételek az OTP Bank honlapján (www.otpbank.hu/travelutalvany) érhetőek el. </w:t>
      </w:r>
    </w:p>
    <w:p w:rsidR="00232779" w:rsidRDefault="00232779" w:rsidP="008D73DC">
      <w:pPr>
        <w:pStyle w:val="Lbjegyzetszveg"/>
        <w:jc w:val="both"/>
      </w:pPr>
      <w:r w:rsidRPr="00270726">
        <w:rPr>
          <w:vertAlign w:val="superscript"/>
        </w:rPr>
        <w:t xml:space="preserve">6 </w:t>
      </w:r>
      <w:r w:rsidRPr="003568FE">
        <w:t>Az OTP Lakástakarék Zrt. által nyújtott s</w:t>
      </w:r>
      <w:r w:rsidRPr="00270726">
        <w:t>zámlanyitási díjkedvezmények mindenkori mértékét és további feltételeit a Hirdetmény a Lakáselőtakarékossági szerződéskötés folyamatos akcióiról c. Hirdetmény tartalmazza</w:t>
      </w:r>
    </w:p>
    <w:p w:rsidR="00534109" w:rsidRPr="00EE5FB9" w:rsidRDefault="00534109" w:rsidP="008D73DC">
      <w:pPr>
        <w:pStyle w:val="Lbjegyzetszveg"/>
        <w:jc w:val="both"/>
      </w:pPr>
      <w:r w:rsidRPr="00534109">
        <w:rPr>
          <w:vertAlign w:val="superscript"/>
        </w:rPr>
        <w:t>7</w:t>
      </w:r>
      <w:r w:rsidRPr="00534109">
        <w:t>A kedvezmény a mindenkor hatályos személyi kölcsön hirdetmény szerinti szerződésekre vehető igénybe. A kedvezmény más kedvezménnyel nem vonható össze. Személyi kölcsön akció idején az akciós feltételekkel vehető igénybe a személyi kölcsön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D017A0">
      <w:trPr>
        <w:trHeight w:val="73"/>
        <w:tblCellSpacing w:w="0" w:type="dxa"/>
      </w:trPr>
      <w:tc>
        <w:tcPr>
          <w:tcW w:w="10206" w:type="dxa"/>
          <w:hideMark/>
        </w:tcPr>
        <w:p w:rsidR="005C3C4A" w:rsidRPr="009D02DA" w:rsidRDefault="00925B28" w:rsidP="00A2772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/>
              <w:sz w:val="16"/>
              <w:szCs w:val="16"/>
              <w:lang w:eastAsia="hu-HU"/>
            </w:rPr>
            <w:t>..</w:t>
          </w:r>
          <w:r w:rsidR="008011D8">
            <w:rPr>
              <w:rFonts w:ascii="Times New Roman" w:eastAsia="Times New Roman" w:hAnsi="Times New Roman"/>
              <w:sz w:val="16"/>
              <w:szCs w:val="16"/>
              <w:lang w:eastAsia="hu-HU"/>
            </w:rPr>
            <w:t>/2016.-ELB</w:t>
          </w:r>
          <w:r w:rsidR="008011D8" w:rsidRPr="00D2372B">
            <w:rPr>
              <w:rFonts w:ascii="Times New Roman" w:eastAsia="Times New Roman" w:hAnsi="Times New Roman"/>
              <w:sz w:val="16"/>
              <w:szCs w:val="16"/>
              <w:lang w:eastAsia="hu-HU"/>
            </w:rPr>
            <w:t>-</w:t>
          </w:r>
          <w:r>
            <w:rPr>
              <w:rFonts w:ascii="Times New Roman" w:eastAsia="Times New Roman" w:hAnsi="Times New Roman"/>
              <w:sz w:val="16"/>
              <w:szCs w:val="16"/>
              <w:lang w:eastAsia="hu-HU"/>
            </w:rPr>
            <w:t>….</w:t>
          </w:r>
          <w:r w:rsidR="008011D8">
            <w:rPr>
              <w:rFonts w:ascii="Times New Roman" w:eastAsia="Times New Roman" w:hAnsi="Times New Roman"/>
              <w:sz w:val="16"/>
              <w:szCs w:val="16"/>
              <w:lang w:eastAsia="hu-HU"/>
            </w:rPr>
            <w:t xml:space="preserve">. </w:t>
          </w:r>
          <w:r w:rsidR="00311603">
            <w:rPr>
              <w:rFonts w:ascii="Times New Roman" w:eastAsia="Times New Roman" w:hAnsi="Times New Roman"/>
              <w:sz w:val="16"/>
              <w:szCs w:val="16"/>
              <w:lang w:eastAsia="hu-HU"/>
            </w:rPr>
            <w:t xml:space="preserve">sz. Tájékoztató                                                                                                                                                                   </w:t>
          </w:r>
          <w:r w:rsidR="00A27722">
            <w:rPr>
              <w:rFonts w:ascii="Times New Roman" w:eastAsia="Times New Roman" w:hAnsi="Times New Roman"/>
              <w:sz w:val="16"/>
              <w:szCs w:val="16"/>
              <w:lang w:eastAsia="hu-HU"/>
            </w:rPr>
            <w:t>1</w:t>
          </w:r>
          <w:r w:rsidR="00311603">
            <w:rPr>
              <w:rFonts w:ascii="Times New Roman" w:eastAsia="Times New Roman" w:hAnsi="Times New Roman"/>
              <w:sz w:val="16"/>
              <w:szCs w:val="16"/>
              <w:lang w:eastAsia="hu-HU"/>
            </w:rPr>
            <w:t>.sz. melléklet</w:t>
          </w:r>
        </w:p>
      </w:tc>
    </w:tr>
    <w:tr w:rsidR="00D017A0">
      <w:trPr>
        <w:trHeight w:val="1321"/>
        <w:tblCellSpacing w:w="0" w:type="dxa"/>
      </w:trPr>
      <w:tc>
        <w:tcPr>
          <w:tcW w:w="10206" w:type="dxa"/>
          <w:shd w:val="clear" w:color="auto" w:fill="B2E57F"/>
          <w:hideMark/>
        </w:tcPr>
        <w:p w:rsidR="006D43D3" w:rsidRPr="006D43D3" w:rsidRDefault="004D148E" w:rsidP="006D43D3">
          <w:pPr>
            <w:spacing w:before="60" w:after="120" w:line="240" w:lineRule="auto"/>
            <w:ind w:left="142"/>
            <w:rPr>
              <w:rFonts w:ascii="Arial" w:hAnsi="Arial" w:cs="Arial"/>
              <w:b/>
              <w:color w:val="006600"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color w:val="006600"/>
              <w:sz w:val="36"/>
              <w:szCs w:val="36"/>
              <w:lang w:eastAsia="hu-HU"/>
            </w:rPr>
            <w:drawing>
              <wp:anchor distT="0" distB="0" distL="114300" distR="114300" simplePos="0" relativeHeight="251667968" behindDoc="0" locked="0" layoutInCell="1" allowOverlap="1" wp14:anchorId="6AB05CF9" wp14:editId="6AB05CFA">
                <wp:simplePos x="0" y="0"/>
                <wp:positionH relativeFrom="column">
                  <wp:posOffset>5304155</wp:posOffset>
                </wp:positionH>
                <wp:positionV relativeFrom="paragraph">
                  <wp:posOffset>8890</wp:posOffset>
                </wp:positionV>
                <wp:extent cx="1223010" cy="843280"/>
                <wp:effectExtent l="0" t="0" r="0" b="0"/>
                <wp:wrapNone/>
                <wp:docPr id="3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43D3" w:rsidRPr="006D43D3">
            <w:rPr>
              <w:rFonts w:ascii="Arial" w:hAnsi="Arial" w:cs="Arial"/>
              <w:b/>
              <w:color w:val="006600"/>
              <w:sz w:val="36"/>
              <w:szCs w:val="36"/>
            </w:rPr>
            <w:t>HIRDETMÉNY</w:t>
          </w:r>
        </w:p>
        <w:p w:rsidR="006D43D3" w:rsidRPr="004F07F1" w:rsidRDefault="006D43D3" w:rsidP="006D43D3">
          <w:pPr>
            <w:spacing w:before="60" w:after="120" w:line="240" w:lineRule="auto"/>
            <w:ind w:left="142"/>
            <w:rPr>
              <w:rFonts w:ascii="Arial" w:hAnsi="Arial" w:cs="Arial"/>
              <w:b/>
              <w:color w:val="006600"/>
              <w:sz w:val="24"/>
              <w:szCs w:val="24"/>
            </w:rPr>
          </w:pPr>
          <w:r w:rsidRPr="004F07F1">
            <w:rPr>
              <w:rFonts w:ascii="Arial" w:hAnsi="Arial" w:cs="Arial"/>
              <w:b/>
              <w:color w:val="006600"/>
              <w:sz w:val="24"/>
              <w:szCs w:val="24"/>
            </w:rPr>
            <w:t>a munkáltatói Platina ajánlatról</w:t>
          </w:r>
          <w:r w:rsidR="004F07F1" w:rsidRPr="004F07F1">
            <w:rPr>
              <w:rFonts w:ascii="Arial" w:hAnsi="Arial" w:cs="Arial"/>
              <w:b/>
              <w:color w:val="006600"/>
              <w:sz w:val="24"/>
              <w:szCs w:val="24"/>
            </w:rPr>
            <w:t xml:space="preserve"> szakszervezeti tag ügyfelek számára</w:t>
          </w:r>
        </w:p>
        <w:p w:rsidR="005C3C4A" w:rsidRPr="00CA7CBE" w:rsidRDefault="006D43D3" w:rsidP="008D014B">
          <w:pPr>
            <w:spacing w:after="0" w:line="240" w:lineRule="auto"/>
            <w:ind w:left="142"/>
            <w:rPr>
              <w:b/>
              <w:color w:val="FFFFFF"/>
              <w:sz w:val="26"/>
              <w:szCs w:val="26"/>
            </w:rPr>
          </w:pPr>
          <w:r w:rsidRPr="00CA7CBE">
            <w:rPr>
              <w:rFonts w:ascii="Arial" w:hAnsi="Arial" w:cs="Arial"/>
              <w:b/>
              <w:color w:val="006600"/>
              <w:sz w:val="26"/>
              <w:szCs w:val="26"/>
            </w:rPr>
            <w:t xml:space="preserve">Érvényes: </w:t>
          </w:r>
          <w:r w:rsidR="00CA7CBE" w:rsidRPr="00095426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201</w:t>
          </w:r>
          <w:r w:rsidR="00095426" w:rsidRPr="00095426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6</w:t>
          </w:r>
          <w:r w:rsidRPr="00DC78AF">
            <w:rPr>
              <w:rFonts w:ascii="Arial" w:hAnsi="Arial" w:cs="Arial"/>
              <w:b/>
              <w:color w:val="006600"/>
              <w:sz w:val="26"/>
              <w:szCs w:val="26"/>
            </w:rPr>
            <w:t>.</w:t>
          </w:r>
          <w:r w:rsidRPr="00DC78AF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 xml:space="preserve"> </w:t>
          </w:r>
          <w:r w:rsidR="008D014B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 xml:space="preserve">május </w:t>
          </w:r>
          <w:r w:rsidR="004121CE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2</w:t>
          </w:r>
          <w:r w:rsidR="008D014B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5</w:t>
          </w:r>
          <w:r w:rsidR="005B6BF9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-t</w:t>
          </w:r>
          <w:r w:rsidR="00797399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ő</w:t>
          </w:r>
          <w:r w:rsidR="00DD02AD" w:rsidRPr="00DC78AF">
            <w:rPr>
              <w:rFonts w:ascii="Arial" w:hAnsi="Arial" w:cs="Arial"/>
              <w:b/>
              <w:i/>
              <w:color w:val="006600"/>
              <w:sz w:val="26"/>
              <w:szCs w:val="26"/>
            </w:rPr>
            <w:t>l</w:t>
          </w:r>
        </w:p>
      </w:tc>
    </w:tr>
  </w:tbl>
  <w:p w:rsidR="005C3C4A" w:rsidRPr="005C3C4A" w:rsidRDefault="004D148E">
    <w:pPr>
      <w:pStyle w:val="lfej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6AB05CFB" wp14:editId="6AB05CFC">
              <wp:simplePos x="0" y="0"/>
              <wp:positionH relativeFrom="column">
                <wp:posOffset>12065</wp:posOffset>
              </wp:positionH>
              <wp:positionV relativeFrom="paragraph">
                <wp:posOffset>-1270</wp:posOffset>
              </wp:positionV>
              <wp:extent cx="6410325" cy="0"/>
              <wp:effectExtent l="12065" t="8255" r="6985" b="10795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3B0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-.1pt;width:504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4A" w:rsidRDefault="004D148E" w:rsidP="008238EA">
    <w:pPr>
      <w:pStyle w:val="lfej"/>
      <w:tabs>
        <w:tab w:val="clear" w:pos="4536"/>
        <w:tab w:val="clear" w:pos="9072"/>
        <w:tab w:val="left" w:pos="3735"/>
      </w:tabs>
    </w:pPr>
    <w:r>
      <w:rPr>
        <w:noProof/>
      </w:rPr>
      <w:drawing>
        <wp:inline distT="0" distB="0" distL="0" distR="0" wp14:anchorId="6AB05D03" wp14:editId="6AB05D04">
          <wp:extent cx="2085975" cy="504825"/>
          <wp:effectExtent l="0" t="0" r="9525" b="9525"/>
          <wp:docPr id="2" name="Kép 2" descr="fek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kv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C4A">
      <w:tab/>
    </w:r>
  </w:p>
  <w:p w:rsidR="005C3C4A" w:rsidRDefault="004D148E" w:rsidP="005F42A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B05D05" wp14:editId="6AB05D06">
              <wp:simplePos x="0" y="0"/>
              <wp:positionH relativeFrom="column">
                <wp:posOffset>5412740</wp:posOffset>
              </wp:positionH>
              <wp:positionV relativeFrom="paragraph">
                <wp:posOffset>144780</wp:posOffset>
              </wp:positionV>
              <wp:extent cx="1475740" cy="1536065"/>
              <wp:effectExtent l="2540" t="1905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53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C3C4A" w:rsidRDefault="004D148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AB05D1B" wp14:editId="6AB05D1C">
                                <wp:extent cx="1295400" cy="1295400"/>
                                <wp:effectExtent l="0" t="0" r="0" b="0"/>
                                <wp:docPr id="10" name="Kép 1" descr="malaco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laco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5D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26.2pt;margin-top:11.4pt;width:116.2pt;height:120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" stroked="f">
              <v:textbox style="mso-fit-shape-to-text:t">
                <w:txbxContent>
                  <w:p w:rsidR="005C3C4A" w:rsidRDefault="004D148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6AB05D1B" wp14:editId="6AB05D1C">
                          <wp:extent cx="1295400" cy="1295400"/>
                          <wp:effectExtent l="0" t="0" r="0" b="0"/>
                          <wp:docPr id="10" name="Kép 1" descr="malaco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laco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825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0"/>
    </w:tblGrid>
    <w:tr w:rsidR="00D017A0">
      <w:trPr>
        <w:tblCellSpacing w:w="0" w:type="dxa"/>
      </w:trPr>
      <w:tc>
        <w:tcPr>
          <w:tcW w:w="0" w:type="auto"/>
          <w:hideMark/>
        </w:tcPr>
        <w:p w:rsidR="005C3C4A" w:rsidRPr="00B476E7" w:rsidRDefault="004D148E" w:rsidP="00B476E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AB05D07" wp14:editId="6AB05D08">
                <wp:extent cx="5238750" cy="95250"/>
                <wp:effectExtent l="0" t="0" r="0" b="0"/>
                <wp:docPr id="3" name="Kép 3" descr="Leírás: E:\OTP\12-0101_word\images\ggggg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írás: E:\OTP\12-0101_word\images\ggggg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7A0">
      <w:trPr>
        <w:tblCellSpacing w:w="0" w:type="dxa"/>
      </w:trPr>
      <w:tc>
        <w:tcPr>
          <w:tcW w:w="0" w:type="auto"/>
          <w:shd w:val="clear" w:color="auto" w:fill="B2E57F"/>
          <w:hideMark/>
        </w:tcPr>
        <w:p w:rsidR="005C3C4A" w:rsidRPr="008A127B" w:rsidRDefault="005C3C4A" w:rsidP="00B476E7">
          <w:pPr>
            <w:spacing w:line="240" w:lineRule="auto"/>
            <w:ind w:left="426"/>
            <w:rPr>
              <w:rFonts w:ascii="Arial" w:hAnsi="Arial" w:cs="Arial"/>
              <w:b/>
              <w:color w:val="FFFFFF"/>
              <w:sz w:val="26"/>
              <w:szCs w:val="26"/>
            </w:rPr>
          </w:pPr>
          <w:r>
            <w:rPr>
              <w:rFonts w:ascii="Arial" w:hAnsi="Arial" w:cs="Arial"/>
              <w:b/>
              <w:color w:val="FFFFFF"/>
              <w:sz w:val="26"/>
              <w:szCs w:val="26"/>
            </w:rPr>
            <w:br/>
            <w:t>H</w:t>
          </w:r>
          <w:r w:rsidRPr="008A127B">
            <w:rPr>
              <w:rFonts w:ascii="Arial" w:hAnsi="Arial" w:cs="Arial"/>
              <w:b/>
              <w:color w:val="FFFFFF"/>
              <w:sz w:val="26"/>
              <w:szCs w:val="26"/>
            </w:rPr>
            <w:t>IRDETMÉNY</w:t>
          </w:r>
        </w:p>
        <w:p w:rsidR="005C3C4A" w:rsidRDefault="005C3C4A" w:rsidP="00B476E7">
          <w:pPr>
            <w:spacing w:after="0" w:line="240" w:lineRule="auto"/>
            <w:ind w:left="425"/>
            <w:rPr>
              <w:rFonts w:ascii="Arial" w:hAnsi="Arial" w:cs="Arial"/>
              <w:color w:val="FFFFFF"/>
              <w:szCs w:val="20"/>
            </w:rPr>
          </w:pPr>
          <w:r w:rsidRPr="00277CE1">
            <w:rPr>
              <w:rFonts w:ascii="Arial" w:hAnsi="Arial" w:cs="Arial"/>
              <w:b/>
              <w:color w:val="FFFFFF"/>
              <w:szCs w:val="20"/>
            </w:rPr>
            <w:t>Bónusz 3 hónapos forint betét lekötési akcióról</w:t>
          </w:r>
          <w:r w:rsidRPr="00277CE1">
            <w:rPr>
              <w:rFonts w:ascii="Arial" w:hAnsi="Arial" w:cs="Arial"/>
              <w:color w:val="FFFFFF"/>
              <w:szCs w:val="20"/>
            </w:rPr>
            <w:t xml:space="preserve"> </w:t>
          </w:r>
        </w:p>
        <w:p w:rsidR="005C3C4A" w:rsidRPr="00B476E7" w:rsidRDefault="005C3C4A" w:rsidP="00B476E7">
          <w:pPr>
            <w:spacing w:after="0" w:line="240" w:lineRule="auto"/>
            <w:ind w:left="567"/>
            <w:rPr>
              <w:rFonts w:ascii="Arial" w:eastAsia="Times New Roman" w:hAnsi="Arial" w:cs="Arial"/>
              <w:sz w:val="20"/>
              <w:szCs w:val="20"/>
              <w:lang w:eastAsia="hu-HU"/>
            </w:rPr>
          </w:pPr>
          <w:r>
            <w:rPr>
              <w:rFonts w:ascii="Arial" w:hAnsi="Arial" w:cs="Arial"/>
              <w:color w:val="FFFFFF"/>
              <w:sz w:val="18"/>
              <w:szCs w:val="18"/>
            </w:rPr>
            <w:br/>
          </w:r>
          <w:r w:rsidRPr="000A2EB5">
            <w:rPr>
              <w:rFonts w:ascii="Arial" w:hAnsi="Arial" w:cs="Arial"/>
              <w:color w:val="FFFFFF"/>
              <w:sz w:val="18"/>
              <w:szCs w:val="18"/>
            </w:rPr>
            <w:t xml:space="preserve">Érvényes: 2012. </w:t>
          </w:r>
          <w:r>
            <w:rPr>
              <w:rFonts w:ascii="Arial" w:hAnsi="Arial" w:cs="Arial"/>
              <w:color w:val="FFFFFF"/>
              <w:sz w:val="18"/>
              <w:szCs w:val="18"/>
            </w:rPr>
            <w:t>április 21</w:t>
          </w:r>
          <w:r w:rsidRPr="000A2EB5">
            <w:rPr>
              <w:rFonts w:ascii="Arial" w:hAnsi="Arial" w:cs="Arial"/>
              <w:color w:val="FFFFFF"/>
              <w:sz w:val="18"/>
              <w:szCs w:val="18"/>
            </w:rPr>
            <w:t xml:space="preserve">-től visszavonásig, </w:t>
          </w:r>
          <w:r>
            <w:rPr>
              <w:rFonts w:ascii="Arial" w:hAnsi="Arial" w:cs="Arial"/>
              <w:color w:val="FFFFFF"/>
              <w:sz w:val="18"/>
              <w:szCs w:val="18"/>
            </w:rPr>
            <w:br/>
          </w:r>
          <w:r w:rsidRPr="000A2EB5">
            <w:rPr>
              <w:rFonts w:ascii="Arial" w:hAnsi="Arial" w:cs="Arial"/>
              <w:color w:val="FFFFFF"/>
              <w:sz w:val="18"/>
              <w:szCs w:val="18"/>
            </w:rPr>
            <w:t>legkésőbb 2012. május 4-ig</w:t>
          </w:r>
          <w:r>
            <w:rPr>
              <w:rFonts w:ascii="Arial" w:hAnsi="Arial" w:cs="Arial"/>
              <w:color w:val="FFFFFF"/>
              <w:sz w:val="18"/>
              <w:szCs w:val="18"/>
            </w:rPr>
            <w:br/>
          </w:r>
        </w:p>
      </w:tc>
    </w:tr>
    <w:tr w:rsidR="00D017A0">
      <w:trPr>
        <w:tblCellSpacing w:w="0" w:type="dxa"/>
      </w:trPr>
      <w:tc>
        <w:tcPr>
          <w:tcW w:w="0" w:type="auto"/>
          <w:noWrap/>
          <w:hideMark/>
        </w:tcPr>
        <w:p w:rsidR="005C3C4A" w:rsidRPr="00B476E7" w:rsidRDefault="004D148E" w:rsidP="00B476E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AB05D09" wp14:editId="6AB05D0A">
                <wp:extent cx="5238750" cy="95250"/>
                <wp:effectExtent l="0" t="0" r="0" b="0"/>
                <wp:docPr id="4" name="Kép 4" descr="Leírás: E:\OTP\12-0101_word\images\ggggg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írás: E:\OTP\12-0101_word\images\ggggg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C4A" w:rsidRDefault="005C3C4A" w:rsidP="005F42A8">
    <w:pPr>
      <w:pStyle w:val="lfej"/>
    </w:pPr>
  </w:p>
  <w:p w:rsidR="005C3C4A" w:rsidRPr="005F42A8" w:rsidRDefault="005C3C4A" w:rsidP="005F42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4A6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3EDD"/>
    <w:multiLevelType w:val="hybridMultilevel"/>
    <w:tmpl w:val="0FD22C52"/>
    <w:lvl w:ilvl="0" w:tplc="C922B6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F62"/>
    <w:multiLevelType w:val="hybridMultilevel"/>
    <w:tmpl w:val="FE36EF76"/>
    <w:lvl w:ilvl="0" w:tplc="DFC05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CA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C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C0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AC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A2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4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40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4F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9FE"/>
    <w:multiLevelType w:val="hybridMultilevel"/>
    <w:tmpl w:val="8090ACE2"/>
    <w:lvl w:ilvl="0" w:tplc="EA72A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625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8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2A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C7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0F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86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02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66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93A"/>
    <w:multiLevelType w:val="hybridMultilevel"/>
    <w:tmpl w:val="15DE4EFC"/>
    <w:lvl w:ilvl="0" w:tplc="18A4B23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65E49"/>
    <w:multiLevelType w:val="multilevel"/>
    <w:tmpl w:val="AFE42E9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Calibri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Calibri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Calibri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Calibri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Calibri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Calibri" w:hAnsi="Times New Roman" w:cs="Times New Roman" w:hint="default"/>
        <w:b/>
        <w:sz w:val="24"/>
      </w:rPr>
    </w:lvl>
  </w:abstractNum>
  <w:abstractNum w:abstractNumId="6" w15:restartNumberingAfterBreak="0">
    <w:nsid w:val="136D7F21"/>
    <w:multiLevelType w:val="hybridMultilevel"/>
    <w:tmpl w:val="DF58B9D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CF273F"/>
    <w:multiLevelType w:val="hybridMultilevel"/>
    <w:tmpl w:val="A25AF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68C66">
      <w:numFmt w:val="bullet"/>
      <w:lvlText w:val="•"/>
      <w:lvlJc w:val="left"/>
      <w:pPr>
        <w:ind w:left="1500" w:hanging="420"/>
      </w:pPr>
      <w:rPr>
        <w:rFonts w:ascii="Arial" w:eastAsia="Calibri" w:hAnsi="Arial" w:cs="Arial" w:hint="default"/>
        <w:b w:val="0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0780"/>
    <w:multiLevelType w:val="hybridMultilevel"/>
    <w:tmpl w:val="D3564BBC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7321CF"/>
    <w:multiLevelType w:val="hybridMultilevel"/>
    <w:tmpl w:val="2BCA4600"/>
    <w:lvl w:ilvl="0" w:tplc="6EBA51B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B271E3"/>
    <w:multiLevelType w:val="hybridMultilevel"/>
    <w:tmpl w:val="E7BA8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6282B"/>
    <w:multiLevelType w:val="hybridMultilevel"/>
    <w:tmpl w:val="777A17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CC5"/>
    <w:multiLevelType w:val="hybridMultilevel"/>
    <w:tmpl w:val="15DE4EFC"/>
    <w:lvl w:ilvl="0" w:tplc="18A4B23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B70C97"/>
    <w:multiLevelType w:val="hybridMultilevel"/>
    <w:tmpl w:val="A692C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68C66">
      <w:numFmt w:val="bullet"/>
      <w:lvlText w:val="•"/>
      <w:lvlJc w:val="left"/>
      <w:pPr>
        <w:ind w:left="1500" w:hanging="420"/>
      </w:pPr>
      <w:rPr>
        <w:rFonts w:ascii="Arial" w:eastAsia="Calibri" w:hAnsi="Arial" w:cs="Arial" w:hint="default"/>
        <w:b w:val="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19C2"/>
    <w:multiLevelType w:val="multilevel"/>
    <w:tmpl w:val="E33284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Calibri" w:hAnsi="Times New Roman" w:cs="Times New Roman" w:hint="default"/>
        <w:b/>
        <w:sz w:val="24"/>
      </w:rPr>
    </w:lvl>
  </w:abstractNum>
  <w:abstractNum w:abstractNumId="15" w15:restartNumberingAfterBreak="0">
    <w:nsid w:val="28032B12"/>
    <w:multiLevelType w:val="multilevel"/>
    <w:tmpl w:val="E33284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Calibri" w:hAnsi="Times New Roman" w:cs="Times New Roman" w:hint="default"/>
        <w:b/>
        <w:sz w:val="24"/>
      </w:rPr>
    </w:lvl>
  </w:abstractNum>
  <w:abstractNum w:abstractNumId="16" w15:restartNumberingAfterBreak="0">
    <w:nsid w:val="333E2157"/>
    <w:multiLevelType w:val="hybridMultilevel"/>
    <w:tmpl w:val="3E6AFBEA"/>
    <w:lvl w:ilvl="0" w:tplc="035A0A1C">
      <w:start w:val="1"/>
      <w:numFmt w:val="lowerLetter"/>
      <w:lvlText w:val="%1."/>
      <w:lvlJc w:val="left"/>
      <w:pPr>
        <w:ind w:left="234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5996483"/>
    <w:multiLevelType w:val="hybridMultilevel"/>
    <w:tmpl w:val="03E0EE8E"/>
    <w:lvl w:ilvl="0" w:tplc="2BBC19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B81"/>
    <w:multiLevelType w:val="hybridMultilevel"/>
    <w:tmpl w:val="04161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75590"/>
    <w:multiLevelType w:val="multilevel"/>
    <w:tmpl w:val="E33284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Calibri" w:hAnsi="Times New Roman" w:cs="Times New Roman" w:hint="default"/>
        <w:b/>
        <w:sz w:val="24"/>
      </w:rPr>
    </w:lvl>
  </w:abstractNum>
  <w:abstractNum w:abstractNumId="20" w15:restartNumberingAfterBreak="0">
    <w:nsid w:val="3E1A3E32"/>
    <w:multiLevelType w:val="hybridMultilevel"/>
    <w:tmpl w:val="A3E4DA2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2E3D30"/>
    <w:multiLevelType w:val="hybridMultilevel"/>
    <w:tmpl w:val="57CEDA00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D7A08C1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1034AA"/>
    <w:multiLevelType w:val="hybridMultilevel"/>
    <w:tmpl w:val="474210F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1A2EFC"/>
    <w:multiLevelType w:val="hybridMultilevel"/>
    <w:tmpl w:val="15DE4EFC"/>
    <w:lvl w:ilvl="0" w:tplc="18A4B23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0B6C15"/>
    <w:multiLevelType w:val="hybridMultilevel"/>
    <w:tmpl w:val="778EEB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D13D2"/>
    <w:multiLevelType w:val="hybridMultilevel"/>
    <w:tmpl w:val="FE24637C"/>
    <w:lvl w:ilvl="0" w:tplc="7B68BA64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D73017"/>
    <w:multiLevelType w:val="hybridMultilevel"/>
    <w:tmpl w:val="822A1D9E"/>
    <w:lvl w:ilvl="0" w:tplc="15FCD192">
      <w:start w:val="1"/>
      <w:numFmt w:val="upperRoman"/>
      <w:lvlText w:val="%1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EF2975"/>
    <w:multiLevelType w:val="hybridMultilevel"/>
    <w:tmpl w:val="D1704BE4"/>
    <w:lvl w:ilvl="0" w:tplc="E236DCF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728BB"/>
    <w:multiLevelType w:val="hybridMultilevel"/>
    <w:tmpl w:val="7524432A"/>
    <w:lvl w:ilvl="0" w:tplc="FE40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F3100"/>
    <w:multiLevelType w:val="hybridMultilevel"/>
    <w:tmpl w:val="28084872"/>
    <w:lvl w:ilvl="0" w:tplc="040E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0" w15:restartNumberingAfterBreak="0">
    <w:nsid w:val="68F600EA"/>
    <w:multiLevelType w:val="hybridMultilevel"/>
    <w:tmpl w:val="1C8C68DE"/>
    <w:lvl w:ilvl="0" w:tplc="111253FA">
      <w:start w:val="1"/>
      <w:numFmt w:val="bullet"/>
      <w:lvlText w:val=""/>
      <w:lvlJc w:val="left"/>
      <w:pPr>
        <w:tabs>
          <w:tab w:val="num" w:pos="574"/>
        </w:tabs>
        <w:ind w:left="574" w:hanging="360"/>
      </w:pPr>
      <w:rPr>
        <w:rFonts w:ascii="Wingdings" w:hAnsi="Wingdings" w:hint="default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1" w15:restartNumberingAfterBreak="0">
    <w:nsid w:val="69E13B03"/>
    <w:multiLevelType w:val="hybridMultilevel"/>
    <w:tmpl w:val="258E3A54"/>
    <w:lvl w:ilvl="0" w:tplc="26AC14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B48E6"/>
    <w:multiLevelType w:val="hybridMultilevel"/>
    <w:tmpl w:val="AEEE6148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38367C"/>
    <w:multiLevelType w:val="hybridMultilevel"/>
    <w:tmpl w:val="6BC610F8"/>
    <w:lvl w:ilvl="0" w:tplc="4C7EDF2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44227"/>
    <w:multiLevelType w:val="multilevel"/>
    <w:tmpl w:val="E33284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Calibri" w:hAnsi="Times New Roman" w:cs="Times New Roman" w:hint="default"/>
        <w:b/>
        <w:sz w:val="24"/>
      </w:rPr>
    </w:lvl>
  </w:abstractNum>
  <w:abstractNum w:abstractNumId="35" w15:restartNumberingAfterBreak="0">
    <w:nsid w:val="6E59267D"/>
    <w:multiLevelType w:val="hybridMultilevel"/>
    <w:tmpl w:val="9ED01C28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D00195"/>
    <w:multiLevelType w:val="multilevel"/>
    <w:tmpl w:val="E33284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Calibri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Calibri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Calibri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Calibri" w:hAnsi="Times New Roman" w:cs="Times New Roman" w:hint="default"/>
        <w:b/>
        <w:sz w:val="24"/>
      </w:rPr>
    </w:lvl>
  </w:abstractNum>
  <w:abstractNum w:abstractNumId="37" w15:restartNumberingAfterBreak="0">
    <w:nsid w:val="781F1118"/>
    <w:multiLevelType w:val="hybridMultilevel"/>
    <w:tmpl w:val="0AA823DA"/>
    <w:lvl w:ilvl="0" w:tplc="040E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8" w15:restartNumberingAfterBreak="0">
    <w:nsid w:val="79D24235"/>
    <w:multiLevelType w:val="hybridMultilevel"/>
    <w:tmpl w:val="DAA8F534"/>
    <w:lvl w:ilvl="0" w:tplc="A71C4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8"/>
  </w:num>
  <w:num w:numId="4">
    <w:abstractNumId w:val="11"/>
  </w:num>
  <w:num w:numId="5">
    <w:abstractNumId w:val="10"/>
  </w:num>
  <w:num w:numId="6">
    <w:abstractNumId w:val="24"/>
  </w:num>
  <w:num w:numId="7">
    <w:abstractNumId w:val="6"/>
  </w:num>
  <w:num w:numId="8">
    <w:abstractNumId w:val="30"/>
  </w:num>
  <w:num w:numId="9">
    <w:abstractNumId w:val="22"/>
  </w:num>
  <w:num w:numId="10">
    <w:abstractNumId w:val="8"/>
  </w:num>
  <w:num w:numId="11">
    <w:abstractNumId w:val="35"/>
  </w:num>
  <w:num w:numId="12">
    <w:abstractNumId w:val="25"/>
  </w:num>
  <w:num w:numId="13">
    <w:abstractNumId w:val="13"/>
  </w:num>
  <w:num w:numId="14">
    <w:abstractNumId w:val="7"/>
  </w:num>
  <w:num w:numId="15">
    <w:abstractNumId w:val="38"/>
  </w:num>
  <w:num w:numId="16">
    <w:abstractNumId w:val="31"/>
  </w:num>
  <w:num w:numId="17">
    <w:abstractNumId w:val="0"/>
  </w:num>
  <w:num w:numId="18">
    <w:abstractNumId w:val="21"/>
  </w:num>
  <w:num w:numId="19">
    <w:abstractNumId w:val="9"/>
  </w:num>
  <w:num w:numId="20">
    <w:abstractNumId w:val="26"/>
  </w:num>
  <w:num w:numId="21">
    <w:abstractNumId w:val="34"/>
  </w:num>
  <w:num w:numId="22">
    <w:abstractNumId w:val="4"/>
  </w:num>
  <w:num w:numId="23">
    <w:abstractNumId w:val="12"/>
  </w:num>
  <w:num w:numId="24">
    <w:abstractNumId w:val="16"/>
  </w:num>
  <w:num w:numId="25">
    <w:abstractNumId w:val="23"/>
  </w:num>
  <w:num w:numId="26">
    <w:abstractNumId w:val="5"/>
  </w:num>
  <w:num w:numId="27">
    <w:abstractNumId w:val="36"/>
  </w:num>
  <w:num w:numId="28">
    <w:abstractNumId w:val="15"/>
  </w:num>
  <w:num w:numId="29">
    <w:abstractNumId w:val="19"/>
  </w:num>
  <w:num w:numId="30">
    <w:abstractNumId w:val="33"/>
  </w:num>
  <w:num w:numId="31">
    <w:abstractNumId w:val="14"/>
  </w:num>
  <w:num w:numId="32">
    <w:abstractNumId w:val="32"/>
  </w:num>
  <w:num w:numId="33">
    <w:abstractNumId w:val="1"/>
  </w:num>
  <w:num w:numId="34">
    <w:abstractNumId w:val="18"/>
  </w:num>
  <w:num w:numId="35">
    <w:abstractNumId w:val="17"/>
  </w:num>
  <w:num w:numId="36">
    <w:abstractNumId w:val="27"/>
  </w:num>
  <w:num w:numId="37">
    <w:abstractNumId w:val="29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31"/>
    <w:rsid w:val="000007FA"/>
    <w:rsid w:val="000017AC"/>
    <w:rsid w:val="000139F0"/>
    <w:rsid w:val="00026B9F"/>
    <w:rsid w:val="00030761"/>
    <w:rsid w:val="00033810"/>
    <w:rsid w:val="000349E8"/>
    <w:rsid w:val="00050134"/>
    <w:rsid w:val="00066245"/>
    <w:rsid w:val="000704F2"/>
    <w:rsid w:val="00083BF1"/>
    <w:rsid w:val="000840F8"/>
    <w:rsid w:val="0009278E"/>
    <w:rsid w:val="0009284B"/>
    <w:rsid w:val="00095426"/>
    <w:rsid w:val="000A46D6"/>
    <w:rsid w:val="000D33D6"/>
    <w:rsid w:val="000E258C"/>
    <w:rsid w:val="000E6CC2"/>
    <w:rsid w:val="000F200A"/>
    <w:rsid w:val="000F26BE"/>
    <w:rsid w:val="000F640C"/>
    <w:rsid w:val="000F7FB1"/>
    <w:rsid w:val="00100E46"/>
    <w:rsid w:val="00105B6A"/>
    <w:rsid w:val="00107E02"/>
    <w:rsid w:val="00122CE3"/>
    <w:rsid w:val="00123206"/>
    <w:rsid w:val="0012387C"/>
    <w:rsid w:val="00124C54"/>
    <w:rsid w:val="00125C2E"/>
    <w:rsid w:val="00131B82"/>
    <w:rsid w:val="001331E7"/>
    <w:rsid w:val="0013472C"/>
    <w:rsid w:val="00137409"/>
    <w:rsid w:val="0014339D"/>
    <w:rsid w:val="0014359B"/>
    <w:rsid w:val="00143B21"/>
    <w:rsid w:val="00147770"/>
    <w:rsid w:val="0015000F"/>
    <w:rsid w:val="00152A0D"/>
    <w:rsid w:val="00156AE9"/>
    <w:rsid w:val="001576C3"/>
    <w:rsid w:val="0016543D"/>
    <w:rsid w:val="0017313E"/>
    <w:rsid w:val="0017314E"/>
    <w:rsid w:val="00177F31"/>
    <w:rsid w:val="00182508"/>
    <w:rsid w:val="001876EF"/>
    <w:rsid w:val="00187763"/>
    <w:rsid w:val="00191ED3"/>
    <w:rsid w:val="001A2E3C"/>
    <w:rsid w:val="001A7279"/>
    <w:rsid w:val="001B0E7E"/>
    <w:rsid w:val="001C3DCA"/>
    <w:rsid w:val="001D6FB3"/>
    <w:rsid w:val="00204199"/>
    <w:rsid w:val="00212481"/>
    <w:rsid w:val="002167F5"/>
    <w:rsid w:val="0022059F"/>
    <w:rsid w:val="00222D28"/>
    <w:rsid w:val="00231263"/>
    <w:rsid w:val="00231E82"/>
    <w:rsid w:val="002320F3"/>
    <w:rsid w:val="00232779"/>
    <w:rsid w:val="002415E6"/>
    <w:rsid w:val="00242541"/>
    <w:rsid w:val="00253913"/>
    <w:rsid w:val="00257443"/>
    <w:rsid w:val="00270726"/>
    <w:rsid w:val="00277CE1"/>
    <w:rsid w:val="0028138A"/>
    <w:rsid w:val="002819EB"/>
    <w:rsid w:val="00284580"/>
    <w:rsid w:val="002A7412"/>
    <w:rsid w:val="002B3A53"/>
    <w:rsid w:val="002C573B"/>
    <w:rsid w:val="002D01A5"/>
    <w:rsid w:val="002E0289"/>
    <w:rsid w:val="00311603"/>
    <w:rsid w:val="00322A58"/>
    <w:rsid w:val="00327123"/>
    <w:rsid w:val="003275DC"/>
    <w:rsid w:val="0033528B"/>
    <w:rsid w:val="00342F85"/>
    <w:rsid w:val="00346EF0"/>
    <w:rsid w:val="003515D2"/>
    <w:rsid w:val="00355B8F"/>
    <w:rsid w:val="003568FE"/>
    <w:rsid w:val="00374700"/>
    <w:rsid w:val="00374BE2"/>
    <w:rsid w:val="00375875"/>
    <w:rsid w:val="00377D4B"/>
    <w:rsid w:val="00377DE2"/>
    <w:rsid w:val="00383320"/>
    <w:rsid w:val="00383DEC"/>
    <w:rsid w:val="00396259"/>
    <w:rsid w:val="00396E50"/>
    <w:rsid w:val="003A1074"/>
    <w:rsid w:val="003A39EF"/>
    <w:rsid w:val="003A7996"/>
    <w:rsid w:val="003B4154"/>
    <w:rsid w:val="003C0CE6"/>
    <w:rsid w:val="003D3B26"/>
    <w:rsid w:val="003E5089"/>
    <w:rsid w:val="003F1EA6"/>
    <w:rsid w:val="003F47F0"/>
    <w:rsid w:val="00405D2F"/>
    <w:rsid w:val="00406421"/>
    <w:rsid w:val="0041150D"/>
    <w:rsid w:val="004121CE"/>
    <w:rsid w:val="004203D5"/>
    <w:rsid w:val="004304D8"/>
    <w:rsid w:val="00433DC6"/>
    <w:rsid w:val="00441EFC"/>
    <w:rsid w:val="00481056"/>
    <w:rsid w:val="0048378B"/>
    <w:rsid w:val="0048606E"/>
    <w:rsid w:val="00490D40"/>
    <w:rsid w:val="004929ED"/>
    <w:rsid w:val="004A0E22"/>
    <w:rsid w:val="004A4CF3"/>
    <w:rsid w:val="004D148E"/>
    <w:rsid w:val="004D31CD"/>
    <w:rsid w:val="004D66AF"/>
    <w:rsid w:val="004E5452"/>
    <w:rsid w:val="004F07F1"/>
    <w:rsid w:val="004F3285"/>
    <w:rsid w:val="0051385D"/>
    <w:rsid w:val="00530CF2"/>
    <w:rsid w:val="00534109"/>
    <w:rsid w:val="005346CA"/>
    <w:rsid w:val="00537D7C"/>
    <w:rsid w:val="0054090D"/>
    <w:rsid w:val="00550A1A"/>
    <w:rsid w:val="005511E2"/>
    <w:rsid w:val="00551330"/>
    <w:rsid w:val="00554955"/>
    <w:rsid w:val="00557C64"/>
    <w:rsid w:val="005620D6"/>
    <w:rsid w:val="00563688"/>
    <w:rsid w:val="005724EA"/>
    <w:rsid w:val="0057374A"/>
    <w:rsid w:val="00587EFE"/>
    <w:rsid w:val="00596CB2"/>
    <w:rsid w:val="005A06ED"/>
    <w:rsid w:val="005A49AE"/>
    <w:rsid w:val="005A567B"/>
    <w:rsid w:val="005A5B1D"/>
    <w:rsid w:val="005A62ED"/>
    <w:rsid w:val="005A7001"/>
    <w:rsid w:val="005B6BF9"/>
    <w:rsid w:val="005B7DF1"/>
    <w:rsid w:val="005C172E"/>
    <w:rsid w:val="005C1ECB"/>
    <w:rsid w:val="005C1F4A"/>
    <w:rsid w:val="005C2AB3"/>
    <w:rsid w:val="005C3C4A"/>
    <w:rsid w:val="005D606C"/>
    <w:rsid w:val="005E032B"/>
    <w:rsid w:val="005F42A8"/>
    <w:rsid w:val="005F6CCC"/>
    <w:rsid w:val="0060188F"/>
    <w:rsid w:val="00626AEA"/>
    <w:rsid w:val="00647C6C"/>
    <w:rsid w:val="00654481"/>
    <w:rsid w:val="00660B70"/>
    <w:rsid w:val="0068252C"/>
    <w:rsid w:val="0068356E"/>
    <w:rsid w:val="0068593D"/>
    <w:rsid w:val="006930B3"/>
    <w:rsid w:val="0069570C"/>
    <w:rsid w:val="00697727"/>
    <w:rsid w:val="006A17C9"/>
    <w:rsid w:val="006A1BCE"/>
    <w:rsid w:val="006B674B"/>
    <w:rsid w:val="006C1EA1"/>
    <w:rsid w:val="006D43D3"/>
    <w:rsid w:val="006E1B01"/>
    <w:rsid w:val="006E210A"/>
    <w:rsid w:val="006E6A04"/>
    <w:rsid w:val="006E6ACF"/>
    <w:rsid w:val="006F50F4"/>
    <w:rsid w:val="006F6C14"/>
    <w:rsid w:val="00706E2B"/>
    <w:rsid w:val="00712158"/>
    <w:rsid w:val="007305C6"/>
    <w:rsid w:val="007343ED"/>
    <w:rsid w:val="00743ADB"/>
    <w:rsid w:val="00751EDD"/>
    <w:rsid w:val="007556E0"/>
    <w:rsid w:val="00761B31"/>
    <w:rsid w:val="00761E6A"/>
    <w:rsid w:val="00781497"/>
    <w:rsid w:val="0078600A"/>
    <w:rsid w:val="00787F8B"/>
    <w:rsid w:val="007938E8"/>
    <w:rsid w:val="007968CF"/>
    <w:rsid w:val="00797399"/>
    <w:rsid w:val="00797D6D"/>
    <w:rsid w:val="007A0F15"/>
    <w:rsid w:val="007A16EA"/>
    <w:rsid w:val="007A47EB"/>
    <w:rsid w:val="007A73C5"/>
    <w:rsid w:val="007B2446"/>
    <w:rsid w:val="007B3AE1"/>
    <w:rsid w:val="007B5062"/>
    <w:rsid w:val="007C6B60"/>
    <w:rsid w:val="007D09BF"/>
    <w:rsid w:val="007D4A7A"/>
    <w:rsid w:val="007D4F41"/>
    <w:rsid w:val="007D6300"/>
    <w:rsid w:val="007E4045"/>
    <w:rsid w:val="008011D8"/>
    <w:rsid w:val="008028BB"/>
    <w:rsid w:val="00807FCD"/>
    <w:rsid w:val="00810B81"/>
    <w:rsid w:val="0081537D"/>
    <w:rsid w:val="008238EA"/>
    <w:rsid w:val="00827839"/>
    <w:rsid w:val="00843FB7"/>
    <w:rsid w:val="0084657A"/>
    <w:rsid w:val="00853C35"/>
    <w:rsid w:val="00860D94"/>
    <w:rsid w:val="00865D04"/>
    <w:rsid w:val="0087286C"/>
    <w:rsid w:val="008876B4"/>
    <w:rsid w:val="008924F1"/>
    <w:rsid w:val="00892A69"/>
    <w:rsid w:val="008A127B"/>
    <w:rsid w:val="008A15CB"/>
    <w:rsid w:val="008A491A"/>
    <w:rsid w:val="008A56E5"/>
    <w:rsid w:val="008A6D2A"/>
    <w:rsid w:val="008B4AF9"/>
    <w:rsid w:val="008C4A68"/>
    <w:rsid w:val="008D014B"/>
    <w:rsid w:val="008D73DC"/>
    <w:rsid w:val="008E1082"/>
    <w:rsid w:val="008E216F"/>
    <w:rsid w:val="008E69A1"/>
    <w:rsid w:val="008F2244"/>
    <w:rsid w:val="008F5C17"/>
    <w:rsid w:val="008F78FA"/>
    <w:rsid w:val="00903F4D"/>
    <w:rsid w:val="009078D8"/>
    <w:rsid w:val="00916938"/>
    <w:rsid w:val="00925B28"/>
    <w:rsid w:val="009274EF"/>
    <w:rsid w:val="0093164E"/>
    <w:rsid w:val="00937148"/>
    <w:rsid w:val="009451AC"/>
    <w:rsid w:val="00951A93"/>
    <w:rsid w:val="009819A4"/>
    <w:rsid w:val="00983EB6"/>
    <w:rsid w:val="009923E0"/>
    <w:rsid w:val="00992826"/>
    <w:rsid w:val="00993EF3"/>
    <w:rsid w:val="009A1665"/>
    <w:rsid w:val="009A5D9E"/>
    <w:rsid w:val="009B543F"/>
    <w:rsid w:val="009C57EB"/>
    <w:rsid w:val="009D490A"/>
    <w:rsid w:val="009D5024"/>
    <w:rsid w:val="009D59E1"/>
    <w:rsid w:val="009E32FC"/>
    <w:rsid w:val="00A27722"/>
    <w:rsid w:val="00A34C09"/>
    <w:rsid w:val="00A478A1"/>
    <w:rsid w:val="00A57C1D"/>
    <w:rsid w:val="00A6356F"/>
    <w:rsid w:val="00A7287E"/>
    <w:rsid w:val="00A92323"/>
    <w:rsid w:val="00A923B6"/>
    <w:rsid w:val="00A945C7"/>
    <w:rsid w:val="00AA6F7C"/>
    <w:rsid w:val="00AB16A7"/>
    <w:rsid w:val="00AB60C0"/>
    <w:rsid w:val="00AC15C3"/>
    <w:rsid w:val="00AC5296"/>
    <w:rsid w:val="00AD1A79"/>
    <w:rsid w:val="00AD2CF8"/>
    <w:rsid w:val="00AD6471"/>
    <w:rsid w:val="00AE0A6D"/>
    <w:rsid w:val="00AE1122"/>
    <w:rsid w:val="00AE40DC"/>
    <w:rsid w:val="00AE4995"/>
    <w:rsid w:val="00AE7BD7"/>
    <w:rsid w:val="00AF7301"/>
    <w:rsid w:val="00B01105"/>
    <w:rsid w:val="00B01A75"/>
    <w:rsid w:val="00B04622"/>
    <w:rsid w:val="00B0761F"/>
    <w:rsid w:val="00B07D84"/>
    <w:rsid w:val="00B131B7"/>
    <w:rsid w:val="00B226F5"/>
    <w:rsid w:val="00B27A6A"/>
    <w:rsid w:val="00B44DF2"/>
    <w:rsid w:val="00B476E7"/>
    <w:rsid w:val="00B653E1"/>
    <w:rsid w:val="00B82AAC"/>
    <w:rsid w:val="00B906CE"/>
    <w:rsid w:val="00B935E2"/>
    <w:rsid w:val="00BB6D3E"/>
    <w:rsid w:val="00BB7486"/>
    <w:rsid w:val="00BC21D3"/>
    <w:rsid w:val="00BC40D5"/>
    <w:rsid w:val="00BC58F2"/>
    <w:rsid w:val="00BC683F"/>
    <w:rsid w:val="00BD5130"/>
    <w:rsid w:val="00BF5B34"/>
    <w:rsid w:val="00BF5C8E"/>
    <w:rsid w:val="00C00D45"/>
    <w:rsid w:val="00C073B2"/>
    <w:rsid w:val="00C27CA2"/>
    <w:rsid w:val="00C327B4"/>
    <w:rsid w:val="00C41F0E"/>
    <w:rsid w:val="00C430AF"/>
    <w:rsid w:val="00C51BFA"/>
    <w:rsid w:val="00C53FCA"/>
    <w:rsid w:val="00C55A1B"/>
    <w:rsid w:val="00C573C1"/>
    <w:rsid w:val="00C62E08"/>
    <w:rsid w:val="00C674F4"/>
    <w:rsid w:val="00C741A8"/>
    <w:rsid w:val="00C80D11"/>
    <w:rsid w:val="00C838FB"/>
    <w:rsid w:val="00C94C9E"/>
    <w:rsid w:val="00C953D7"/>
    <w:rsid w:val="00CA3ED8"/>
    <w:rsid w:val="00CA4773"/>
    <w:rsid w:val="00CA7CBE"/>
    <w:rsid w:val="00CC397B"/>
    <w:rsid w:val="00CD2313"/>
    <w:rsid w:val="00CE1095"/>
    <w:rsid w:val="00CE29B1"/>
    <w:rsid w:val="00D017A0"/>
    <w:rsid w:val="00D028F6"/>
    <w:rsid w:val="00D07FE4"/>
    <w:rsid w:val="00D10F5F"/>
    <w:rsid w:val="00D24605"/>
    <w:rsid w:val="00D25EB8"/>
    <w:rsid w:val="00D2610B"/>
    <w:rsid w:val="00D4252B"/>
    <w:rsid w:val="00D44527"/>
    <w:rsid w:val="00D461C3"/>
    <w:rsid w:val="00D509C5"/>
    <w:rsid w:val="00D5724E"/>
    <w:rsid w:val="00D57615"/>
    <w:rsid w:val="00D70BF2"/>
    <w:rsid w:val="00D8081D"/>
    <w:rsid w:val="00D91246"/>
    <w:rsid w:val="00DA4283"/>
    <w:rsid w:val="00DB2810"/>
    <w:rsid w:val="00DC21F0"/>
    <w:rsid w:val="00DC78AF"/>
    <w:rsid w:val="00DD02AD"/>
    <w:rsid w:val="00DD074A"/>
    <w:rsid w:val="00DD3451"/>
    <w:rsid w:val="00DF479E"/>
    <w:rsid w:val="00DF686C"/>
    <w:rsid w:val="00E015E1"/>
    <w:rsid w:val="00E079F8"/>
    <w:rsid w:val="00E101DF"/>
    <w:rsid w:val="00E12B0D"/>
    <w:rsid w:val="00E26A91"/>
    <w:rsid w:val="00E273E6"/>
    <w:rsid w:val="00E3421A"/>
    <w:rsid w:val="00E50659"/>
    <w:rsid w:val="00E5082A"/>
    <w:rsid w:val="00E511B0"/>
    <w:rsid w:val="00E66086"/>
    <w:rsid w:val="00E82BD2"/>
    <w:rsid w:val="00E83199"/>
    <w:rsid w:val="00E847AF"/>
    <w:rsid w:val="00E905CA"/>
    <w:rsid w:val="00E97739"/>
    <w:rsid w:val="00EA3230"/>
    <w:rsid w:val="00EA6DB2"/>
    <w:rsid w:val="00ED0789"/>
    <w:rsid w:val="00ED460A"/>
    <w:rsid w:val="00EE5FB9"/>
    <w:rsid w:val="00EF2926"/>
    <w:rsid w:val="00EF2AC8"/>
    <w:rsid w:val="00EF3630"/>
    <w:rsid w:val="00F04C1F"/>
    <w:rsid w:val="00F07966"/>
    <w:rsid w:val="00F27FE9"/>
    <w:rsid w:val="00F30284"/>
    <w:rsid w:val="00F55924"/>
    <w:rsid w:val="00F6345F"/>
    <w:rsid w:val="00F640AF"/>
    <w:rsid w:val="00F65168"/>
    <w:rsid w:val="00F6626F"/>
    <w:rsid w:val="00F73F66"/>
    <w:rsid w:val="00F77101"/>
    <w:rsid w:val="00F83BA9"/>
    <w:rsid w:val="00F86119"/>
    <w:rsid w:val="00F87028"/>
    <w:rsid w:val="00F911D0"/>
    <w:rsid w:val="00F97B15"/>
    <w:rsid w:val="00FA3864"/>
    <w:rsid w:val="00FA664E"/>
    <w:rsid w:val="00FB7B34"/>
    <w:rsid w:val="00FC64DB"/>
    <w:rsid w:val="00FC769D"/>
    <w:rsid w:val="00FD05DF"/>
    <w:rsid w:val="00FD1713"/>
    <w:rsid w:val="00FD2E8C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5A04599-722D-43E4-925B-5F1D3BBB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52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6D43D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D17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2387C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rsid w:val="00156AE9"/>
    <w:pPr>
      <w:spacing w:after="120" w:line="240" w:lineRule="auto"/>
      <w:jc w:val="both"/>
    </w:pPr>
    <w:rPr>
      <w:rFonts w:ascii="Times New Roman" w:eastAsia="Times New Roman" w:hAnsi="Times New Roman"/>
      <w:sz w:val="20"/>
      <w:szCs w:val="24"/>
      <w:lang w:eastAsia="hu-HU"/>
    </w:rPr>
  </w:style>
  <w:style w:type="character" w:customStyle="1" w:styleId="SzvegtrzsChar">
    <w:name w:val="Szövegtörzs Char"/>
    <w:link w:val="Szvegtrzs"/>
    <w:rsid w:val="00156AE9"/>
    <w:rPr>
      <w:rFonts w:ascii="Times New Roman" w:eastAsia="Times New Roman" w:hAnsi="Times New Roman"/>
      <w:szCs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56A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E1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rsid w:val="006E1B01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87286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hu-HU"/>
    </w:rPr>
  </w:style>
  <w:style w:type="character" w:customStyle="1" w:styleId="CmChar">
    <w:name w:val="Cím Char"/>
    <w:link w:val="Cm"/>
    <w:rsid w:val="0087286C"/>
    <w:rPr>
      <w:rFonts w:ascii="Arial" w:eastAsia="Times New Roman" w:hAnsi="Arial"/>
      <w:b/>
      <w:sz w:val="24"/>
    </w:rPr>
  </w:style>
  <w:style w:type="paragraph" w:styleId="NormlWeb">
    <w:name w:val="Normal (Web)"/>
    <w:basedOn w:val="Norml"/>
    <w:uiPriority w:val="99"/>
    <w:semiHidden/>
    <w:unhideWhenUsed/>
    <w:rsid w:val="00066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HER">
    <w:name w:val="FEHER"/>
    <w:basedOn w:val="Norml"/>
    <w:link w:val="FEHERChar"/>
    <w:qFormat/>
    <w:rsid w:val="00066245"/>
    <w:rPr>
      <w:rFonts w:ascii="Arial" w:hAnsi="Arial" w:cs="Arial"/>
      <w:b/>
      <w:color w:val="FFFFFF"/>
      <w:szCs w:val="20"/>
    </w:rPr>
  </w:style>
  <w:style w:type="paragraph" w:styleId="llb">
    <w:name w:val="footer"/>
    <w:basedOn w:val="Norml"/>
    <w:link w:val="llbChar"/>
    <w:uiPriority w:val="99"/>
    <w:unhideWhenUsed/>
    <w:rsid w:val="005511E2"/>
    <w:pPr>
      <w:tabs>
        <w:tab w:val="center" w:pos="4536"/>
        <w:tab w:val="right" w:pos="9072"/>
      </w:tabs>
    </w:pPr>
  </w:style>
  <w:style w:type="character" w:customStyle="1" w:styleId="FEHERChar">
    <w:name w:val="FEHER Char"/>
    <w:link w:val="FEHER"/>
    <w:rsid w:val="00066245"/>
    <w:rPr>
      <w:rFonts w:ascii="Arial" w:hAnsi="Arial" w:cs="Arial"/>
      <w:b/>
      <w:color w:val="FFFFFF"/>
      <w:sz w:val="22"/>
      <w:lang w:eastAsia="en-US"/>
    </w:rPr>
  </w:style>
  <w:style w:type="character" w:customStyle="1" w:styleId="llbChar">
    <w:name w:val="Élőláb Char"/>
    <w:link w:val="llb"/>
    <w:uiPriority w:val="99"/>
    <w:rsid w:val="005511E2"/>
    <w:rPr>
      <w:sz w:val="22"/>
      <w:szCs w:val="22"/>
      <w:lang w:eastAsia="en-US"/>
    </w:rPr>
  </w:style>
  <w:style w:type="character" w:styleId="Hiperhivatkozs">
    <w:name w:val="Hyperlink"/>
    <w:rsid w:val="00242541"/>
    <w:rPr>
      <w:color w:val="0000FF"/>
      <w:u w:val="single"/>
    </w:rPr>
  </w:style>
  <w:style w:type="character" w:customStyle="1" w:styleId="Cmsor1Char">
    <w:name w:val="Címsor 1 Char"/>
    <w:link w:val="Cmsor1"/>
    <w:rsid w:val="006D43D3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6D43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6D43D3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6D43D3"/>
    <w:rPr>
      <w:vertAlign w:val="superscript"/>
    </w:rPr>
  </w:style>
  <w:style w:type="character" w:customStyle="1" w:styleId="Cmsor2Char">
    <w:name w:val="Címsor 2 Char"/>
    <w:link w:val="Cmsor2"/>
    <w:uiPriority w:val="9"/>
    <w:rsid w:val="00FD17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FD17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56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6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67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6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6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cid:image002.png@01CCF0B4.2408FC90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E:\OTP\12-0101_word\images\ggggg_01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file:///E:\OTP\12-0101_word\images\ggggg_03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0x00EE09700CDCD5554DA008266BF7C5BE23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zabályozási munka dokumentumok" ma:contentTypeID="0x00EE09700CDCD5554DA008266BF7C5BE23" ma:contentTypeVersion="" ma:contentTypeDescription="" ma:contentTypeScope="" ma:versionID="ada57d958ab6bf1f6e85732e3126cf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e2619e99a709d706fa31520885b6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Azonosító" ma:internalName="ID" ma:readOnly="true">
      <xsd:simpleType>
        <xsd:restriction base="dms:Unknown"/>
      </xsd:simpleType>
    </xsd:element>
    <xsd:element name="ContentTypeId" ma:index="1" nillable="true" ma:displayName="Tartalomtípus azonosítója" ma:hidden="true" ma:internalName="ContentTypeId" ma:readOnly="true">
      <xsd:simpleType>
        <xsd:restriction base="dms:Unknown"/>
      </xsd:simpleType>
    </xsd:element>
    <xsd:element name="Author" ma:index="4" nillable="true" ma:displayName="Létrehozt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ódosított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ásolási célhelyekkel rendelkezik" ma:hidden="true" ma:internalName="_HasCopyDestinations" ma:readOnly="true">
      <xsd:simpleType>
        <xsd:restriction base="dms:Boolean"/>
      </xsd:simpleType>
    </xsd:element>
    <xsd:element name="_CopySource" ma:index="8" nillable="true" ma:displayName="Másolás forrása" ma:internalName="_CopySource" ma:readOnly="true">
      <xsd:simpleType>
        <xsd:restriction base="dms:Text"/>
      </xsd:simpleType>
    </xsd:element>
    <xsd:element name="_ModerationStatus" ma:index="9" nillable="true" ma:displayName="Jóváhagyási fázi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Jóváhagyó megjegyzései" ma:hidden="true" ma:internalName="_ModerationComments" ma:readOnly="true">
      <xsd:simpleType>
        <xsd:restriction base="dms:Note"/>
      </xsd:simpleType>
    </xsd:element>
    <xsd:element name="FileRef" ma:index="11" nillable="true" ma:displayName="URL-cím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Elérési út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ódosítv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Létrehozv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ájlméret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Elemtípus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Rendezés típus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Az elemet kivevő felhasználó azonosítója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Kivette a helyi fiók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Kivette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Egyedi azonosító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Ügyfél azonosítój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írusállapot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Kivette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Beadási megjegyzés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ájltípus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ájltípus" ma:hidden="true" ma:internalName="HTML_x0020_File_x0020_Type" ma:readOnly="true">
      <xsd:simpleType>
        <xsd:restriction base="dms:Text"/>
      </xsd:simpleType>
    </xsd:element>
    <xsd:element name="_SourceUrl" ma:index="35" nillable="true" ma:displayName="Forrás URL-címe" ma:hidden="true" ma:internalName="_SourceUrl">
      <xsd:simpleType>
        <xsd:restriction base="dms:Text"/>
      </xsd:simpleType>
    </xsd:element>
    <xsd:element name="_SharedFileIndex" ma:index="36" nillable="true" ma:displayName="Megosztott fájl indexe" ma:hidden="true" ma:internalName="_SharedFileIndex">
      <xsd:simpleType>
        <xsd:restriction base="dms:Text"/>
      </xsd:simpleType>
    </xsd:element>
    <xsd:element name="MetaInfo" ma:index="48" nillable="true" ma:displayName="Tulajdonságcsomag" ma:hidden="true" ma:list="Docs" ma:internalName="MetaInfo" ma:showField="MetaInfo">
      <xsd:simpleType>
        <xsd:restriction base="dms:Lookup"/>
      </xsd:simpleType>
    </xsd:element>
    <xsd:element name="_Level" ma:index="49" nillable="true" ma:displayName="Szint" ma:hidden="true" ma:internalName="_Level" ma:readOnly="true">
      <xsd:simpleType>
        <xsd:restriction base="dms:Unknown"/>
      </xsd:simpleType>
    </xsd:element>
    <xsd:element name="_IsCurrentVersion" ma:index="50" nillable="true" ma:displayName="Aktuális verzió" ma:hidden="true" ma:internalName="_IsCurrentVersion" ma:readOnly="true">
      <xsd:simpleType>
        <xsd:restriction base="dms:Boolean"/>
      </xsd:simpleType>
    </xsd:element>
    <xsd:element name="ItemChildCount" ma:index="51" nillable="true" ma:displayName="Gyermekelemek száma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Mappa gyermekelemeinek száma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Felhasználói felület verziószáma" ma:hidden="true" ma:internalName="_UIVersion" ma:readOnly="true">
      <xsd:simpleType>
        <xsd:restriction base="dms:Unknown"/>
      </xsd:simpleType>
    </xsd:element>
    <xsd:element name="_UIVersionString" ma:index="58" nillable="true" ma:displayName="Verziószám" ma:internalName="_UIVersionString" ma:readOnly="true">
      <xsd:simpleType>
        <xsd:restriction base="dms:Text"/>
      </xsd:simpleType>
    </xsd:element>
    <xsd:element name="InstanceID" ma:index="59" nillable="true" ma:displayName="Példányazonosító" ma:hidden="true" ma:internalName="InstanceID" ma:readOnly="true">
      <xsd:simpleType>
        <xsd:restriction base="dms:Unknown"/>
      </xsd:simpleType>
    </xsd:element>
    <xsd:element name="Order" ma:index="60" nillable="true" ma:displayName="Sorrend" ma:hidden="true" ma:internalName="Order">
      <xsd:simpleType>
        <xsd:restriction base="dms:Number"/>
      </xsd:simpleType>
    </xsd:element>
    <xsd:element name="GUID" ma:index="61" nillable="true" ma:displayName="GUID azonosító" ma:hidden="true" ma:internalName="GUID" ma:readOnly="true">
      <xsd:simpleType>
        <xsd:restriction base="dms:Unknown"/>
      </xsd:simpleType>
    </xsd:element>
    <xsd:element name="WorkflowVersion" ma:index="62" nillable="true" ma:displayName="Munkafolyamat-verzió" ma:hidden="true" ma:internalName="WorkflowVersion" ma:readOnly="true">
      <xsd:simpleType>
        <xsd:restriction base="dms:Unknown"/>
      </xsd:simpleType>
    </xsd:element>
    <xsd:element name="WorkflowInstanceID" ma:index="63" nillable="true" ma:displayName="Munkafolyamat-példány azonosítója" ma:hidden="true" ma:internalName="WorkflowInstanceID" ma:readOnly="true">
      <xsd:simpleType>
        <xsd:restriction base="dms:Unknown"/>
      </xsd:simpleType>
    </xsd:element>
    <xsd:element name="ParentVersionString" ma:index="64" nillable="true" ma:displayName="Forrás verziószáma (konvertált dokumentum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Forrás neve (konvertált dokumentum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kumentum verzió-ellenőrzési száma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Sablonhivatkozás" ma:hidden="true" ma:internalName="TemplateUrl">
      <xsd:simpleType>
        <xsd:restriction base="dms:Text"/>
      </xsd:simpleType>
    </xsd:element>
    <xsd:element name="xd_ProgID" ma:index="69" nillable="true" ma:displayName="HTML-fájlhivatkozás" ma:hidden="true" ma:internalName="xd_ProgID">
      <xsd:simpleType>
        <xsd:restriction base="dms:Text"/>
      </xsd:simpleType>
    </xsd:element>
    <xsd:element name="xd_Signature" ma:index="70" nillable="true" ma:displayName="Alá van írva" ma:hidden="true" ma:internalName="xd_Signature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artalomtípus"/>
        <xsd:element ref="dc:title" minOccurs="0" maxOccurs="1" ma:index="67" ma:displayName="Cím"/>
        <xsd:element ref="dc:subject" minOccurs="0" maxOccurs="1" ma:index="74" ma:displayName="Azonosító"/>
        <xsd:element ref="dc:description" minOccurs="0" maxOccurs="1"/>
        <xsd:element name="keywords" minOccurs="0" maxOccurs="1" type="xsd:string" ma:index="73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F7FB4-34CE-4818-B3E4-60AA96A4B7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868DBA-8CDE-4328-8BC7-1BFD76D40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2174</Words>
  <Characters>15006</Characters>
  <Application>Microsoft Office Word</Application>
  <DocSecurity>0</DocSecurity>
  <Lines>125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5.sz. melléklet HIRDETMÉNY a munkáltatói Platina ajánlatról szakszervezeti tag ügyfelek számára – Hatályos: 2016.05.25-től</vt:lpstr>
      <vt:lpstr/>
    </vt:vector>
  </TitlesOfParts>
  <Company>OTP Bank Nyrt.</Company>
  <LinksUpToDate>false</LinksUpToDate>
  <CharactersWithSpaces>17146</CharactersWithSpaces>
  <SharedDoc>false</SharedDoc>
  <HLinks>
    <vt:vector size="6" baseType="variant">
      <vt:variant>
        <vt:i4>6946897</vt:i4>
      </vt:variant>
      <vt:variant>
        <vt:i4>-1</vt:i4>
      </vt:variant>
      <vt:variant>
        <vt:i4>1063</vt:i4>
      </vt:variant>
      <vt:variant>
        <vt:i4>1</vt:i4>
      </vt:variant>
      <vt:variant>
        <vt:lpwstr>cid:image002.png@01CCF0B4.2408FC90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5.sz. melléklet HIRDETMÉNY a munkáltatói Platina ajánlatról szakszervezeti tag ügyfelek számára – Hatályos: 2016.05.25-től</dc:title>
  <dc:creator>kissdorina</dc:creator>
  <cp:lastModifiedBy>Békési Hajnalka</cp:lastModifiedBy>
  <cp:revision>2</cp:revision>
  <cp:lastPrinted>2016-03-24T08:31:00Z</cp:lastPrinted>
  <dcterms:created xsi:type="dcterms:W3CDTF">2016-08-08T10:56:00Z</dcterms:created>
  <dcterms:modified xsi:type="dcterms:W3CDTF">2016-08-08T10:56:00Z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ulaIsRegulaDocument">
    <vt:lpwstr>False</vt:lpwstr>
  </property>
</Properties>
</file>