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054AB" w:rsidRDefault="00A054AB" w:rsidP="00194B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14EE">
        <w:rPr>
          <w:rFonts w:ascii="Times New Roman" w:hAnsi="Times New Roman"/>
          <w:b/>
          <w:sz w:val="40"/>
          <w:szCs w:val="40"/>
        </w:rPr>
        <w:t>Magyar Könyvvizsgálói Kamara</w:t>
      </w:r>
    </w:p>
    <w:p w:rsidR="00A054AB" w:rsidRPr="00D104A8" w:rsidRDefault="00A054AB" w:rsidP="00194B2D">
      <w:pPr>
        <w:jc w:val="center"/>
        <w:rPr>
          <w:rFonts w:asciiTheme="majorBidi" w:hAnsiTheme="majorBidi" w:cstheme="majorBidi"/>
          <w:b/>
          <w:bCs/>
          <w:sz w:val="40"/>
          <w:szCs w:val="40"/>
          <w:lang w:val="hu-HU"/>
        </w:rPr>
      </w:pPr>
      <w:r w:rsidRPr="00D104A8">
        <w:rPr>
          <w:rFonts w:asciiTheme="majorBidi" w:hAnsiTheme="majorBidi" w:cstheme="majorBidi"/>
          <w:b/>
          <w:bCs/>
          <w:sz w:val="40"/>
          <w:szCs w:val="40"/>
          <w:lang w:val="hu-HU"/>
        </w:rPr>
        <w:t>Szakértői Bizottság</w:t>
      </w:r>
      <w:r w:rsidR="00673C63" w:rsidRPr="00D104A8">
        <w:rPr>
          <w:rFonts w:asciiTheme="majorBidi" w:hAnsiTheme="majorBidi" w:cstheme="majorBidi"/>
          <w:b/>
          <w:bCs/>
          <w:sz w:val="40"/>
          <w:szCs w:val="40"/>
          <w:lang w:val="hu-HU"/>
        </w:rPr>
        <w:t>a</w:t>
      </w:r>
      <w:r w:rsidRPr="00D104A8">
        <w:rPr>
          <w:rFonts w:asciiTheme="majorBidi" w:hAnsiTheme="majorBidi" w:cstheme="majorBidi"/>
          <w:b/>
          <w:bCs/>
          <w:sz w:val="40"/>
          <w:szCs w:val="40"/>
          <w:lang w:val="hu-HU"/>
        </w:rPr>
        <w:t xml:space="preserve"> </w:t>
      </w:r>
    </w:p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320" w:rsidRDefault="003C1320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320" w:rsidRDefault="003C1320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320" w:rsidRDefault="003C1320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320" w:rsidRDefault="003C1320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1320" w:rsidRDefault="003C1320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Default="00595F79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054AB" w:rsidRDefault="00A054AB" w:rsidP="0010013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95F79" w:rsidRPr="00194B2D" w:rsidRDefault="008C5B02" w:rsidP="00194B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4B2D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="00595F79" w:rsidRPr="00194B2D">
        <w:rPr>
          <w:rFonts w:asciiTheme="majorBidi" w:hAnsiTheme="majorBidi" w:cstheme="majorBidi"/>
          <w:b/>
          <w:bCs/>
          <w:sz w:val="32"/>
          <w:szCs w:val="32"/>
        </w:rPr>
        <w:t>KÖNYVVIZSGÁLÓI DÍJAK MINIMUMÁRA</w:t>
      </w:r>
    </w:p>
    <w:p w:rsidR="00595F79" w:rsidRDefault="00595F79" w:rsidP="00194B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4B2D">
        <w:rPr>
          <w:rFonts w:asciiTheme="majorBidi" w:hAnsiTheme="majorBidi" w:cstheme="majorBidi"/>
          <w:b/>
          <w:bCs/>
          <w:sz w:val="32"/>
          <w:szCs w:val="32"/>
        </w:rPr>
        <w:t>VONATKOZÓ KAMARAI AJÁNLÁS</w:t>
      </w:r>
    </w:p>
    <w:p w:rsidR="0096038B" w:rsidRPr="00194B2D" w:rsidRDefault="00595F79" w:rsidP="00194B2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hu-HU"/>
        </w:rPr>
      </w:pPr>
      <w:r w:rsidRPr="00194B2D">
        <w:rPr>
          <w:rFonts w:asciiTheme="majorBidi" w:hAnsiTheme="majorBidi" w:cstheme="majorBidi"/>
          <w:b/>
          <w:bCs/>
          <w:sz w:val="32"/>
          <w:szCs w:val="32"/>
        </w:rPr>
        <w:t>FELÜLVIZSGÁLATA</w:t>
      </w:r>
    </w:p>
    <w:p w:rsidR="0096038B" w:rsidRDefault="0096038B" w:rsidP="0010013B">
      <w:pPr>
        <w:rPr>
          <w:b/>
          <w:bCs/>
          <w:lang w:val="hu-HU"/>
        </w:rPr>
      </w:pPr>
    </w:p>
    <w:p w:rsidR="00EB6BE0" w:rsidRDefault="00194B2D" w:rsidP="00194B2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br/>
      </w:r>
      <w:r w:rsidRPr="00194B2D">
        <w:rPr>
          <w:rFonts w:ascii="Times New Roman" w:hAnsi="Times New Roman" w:cs="Times New Roman"/>
          <w:sz w:val="24"/>
          <w:szCs w:val="24"/>
          <w:lang w:val="hu-HU"/>
        </w:rPr>
        <w:t xml:space="preserve">Ajánlás a számviteli beszámoló könyvvizsgálatára vonatkozó megbízás </w:t>
      </w:r>
    </w:p>
    <w:p w:rsidR="00595F79" w:rsidRPr="00194B2D" w:rsidRDefault="00742576" w:rsidP="00194B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munkaóra-</w:t>
      </w:r>
      <w:r w:rsidR="00194B2D" w:rsidRPr="00194B2D">
        <w:rPr>
          <w:rFonts w:ascii="Times New Roman" w:hAnsi="Times New Roman" w:cs="Times New Roman"/>
          <w:sz w:val="24"/>
          <w:szCs w:val="24"/>
          <w:lang w:val="hu-HU"/>
        </w:rPr>
        <w:t>ráfordításának meghatározásához</w:t>
      </w:r>
    </w:p>
    <w:p w:rsidR="00595F79" w:rsidRPr="00194B2D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Default="00595F79" w:rsidP="0010013B">
      <w:pPr>
        <w:rPr>
          <w:b/>
          <w:bCs/>
          <w:lang w:val="hu-HU"/>
        </w:rPr>
      </w:pPr>
    </w:p>
    <w:p w:rsidR="00595F79" w:rsidRPr="00194B2D" w:rsidRDefault="00595F79" w:rsidP="00194B2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hu-H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hu-HU"/>
        </w:rPr>
        <w:t>2017. március 09.</w:t>
      </w:r>
    </w:p>
    <w:p w:rsidR="00A054AB" w:rsidRDefault="00A054AB">
      <w:pPr>
        <w:rPr>
          <w:b/>
          <w:bCs/>
          <w:lang w:val="hu-HU"/>
        </w:rPr>
      </w:pPr>
    </w:p>
    <w:p w:rsidR="0096038B" w:rsidRDefault="0096038B" w:rsidP="0010013B">
      <w:pPr>
        <w:rPr>
          <w:b/>
          <w:bCs/>
          <w:lang w:val="hu-HU"/>
        </w:rPr>
      </w:pPr>
    </w:p>
    <w:p w:rsidR="0010013B" w:rsidRPr="00FC2D35" w:rsidRDefault="0010013B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>Háttér</w:t>
      </w:r>
      <w:r w:rsidR="00FB2EAE"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 és előzmények</w:t>
      </w: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 </w:t>
      </w:r>
    </w:p>
    <w:p w:rsidR="001C26D3" w:rsidRDefault="001C26D3" w:rsidP="0010013B">
      <w:pPr>
        <w:rPr>
          <w:lang w:val="hu-HU"/>
        </w:rPr>
      </w:pPr>
    </w:p>
    <w:p w:rsidR="00BE1602" w:rsidRPr="00FC2D35" w:rsidRDefault="0010013B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kamara elnöksége 2012-ben fogadott el egy ajánlást</w:t>
      </w:r>
      <w:r w:rsidR="000C6947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 könyvvizsgálói tevékenységért járó díjtétel-minimumok meghatározásáról. Erre a Kkt. 54. § (6) bekezdése alapján van lehetősége a kamarának, amely szerint „</w:t>
      </w:r>
      <w:proofErr w:type="gramStart"/>
      <w:r w:rsidR="000C6947"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proofErr w:type="gramEnd"/>
      <w:r w:rsidR="000C6947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kamara a jogszabályi kötelezettségen alapuló könyvvizsgálói tevékenység ellátásáért járó díjak meghatározásának elve</w:t>
      </w:r>
      <w:r w:rsidR="000C6947" w:rsidRPr="00FC2D35">
        <w:rPr>
          <w:rFonts w:asciiTheme="majorBidi" w:hAnsiTheme="majorBidi" w:cstheme="majorBidi"/>
          <w:sz w:val="20"/>
          <w:szCs w:val="20"/>
          <w:lang w:val="hu-HU"/>
        </w:rPr>
        <w:t>i</w:t>
      </w:r>
      <w:r w:rsidR="000C6947" w:rsidRPr="00FC2D35">
        <w:rPr>
          <w:rFonts w:asciiTheme="majorBidi" w:hAnsiTheme="majorBidi" w:cstheme="majorBidi"/>
          <w:sz w:val="20"/>
          <w:szCs w:val="20"/>
          <w:lang w:val="hu-HU"/>
        </w:rPr>
        <w:t>re, elsődleges szempontjaira, a díjtételek alsó határaira ajánlást adhat ki.”</w:t>
      </w:r>
    </w:p>
    <w:p w:rsidR="00BE1602" w:rsidRPr="00FC2D35" w:rsidRDefault="00BE1602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2012. évi ajánlás egy jó megközelítést és kézzel fogható támpontot adott a könyvvizsgálóknak ahhoz, hogy egy megbízó társaság mérete </w:t>
      </w:r>
      <w:r w:rsidR="00D94C9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(a mérlegfőösszeg, illetve az értékesítés nettó árbevétele)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alapján mekkora összegű minimális díj</w:t>
      </w:r>
      <w:r w:rsidR="00D94C98" w:rsidRPr="00FC2D35">
        <w:rPr>
          <w:rFonts w:asciiTheme="majorBidi" w:hAnsiTheme="majorBidi" w:cstheme="majorBidi"/>
          <w:sz w:val="20"/>
          <w:szCs w:val="20"/>
          <w:lang w:val="hu-HU"/>
        </w:rPr>
        <w:t>jal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kellene kalkulálni ahhoz, hogy az adott könyvvizsgálat ne legyen „alulárazva” és a megbízási díjban még az elfogadható tűréshatáron belül kifejezésre jusson a könyvvizsgálati munka értéke. </w:t>
      </w:r>
    </w:p>
    <w:p w:rsidR="00B13F5F" w:rsidRPr="00FC2D35" w:rsidRDefault="00B13F5F" w:rsidP="000B1044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díjajánláshoz tartozott még egy díjkalkulációs séma is, amely ma is fönt van a kamara honlapján az alábbi linken:</w:t>
      </w: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A17B11" w:rsidP="000B1044">
      <w:pPr>
        <w:rPr>
          <w:rFonts w:asciiTheme="majorBidi" w:hAnsiTheme="majorBidi" w:cstheme="majorBidi"/>
          <w:sz w:val="20"/>
          <w:szCs w:val="20"/>
          <w:lang w:val="hu-HU"/>
        </w:rPr>
      </w:pPr>
      <w:hyperlink r:id="rId10" w:history="1">
        <w:r w:rsidR="000B1044" w:rsidRPr="00FC2D35">
          <w:rPr>
            <w:rStyle w:val="Hiperhivatkozs"/>
            <w:rFonts w:asciiTheme="majorBidi" w:hAnsiTheme="majorBidi" w:cstheme="majorBidi"/>
            <w:sz w:val="20"/>
            <w:szCs w:val="20"/>
            <w:lang w:val="hu-HU"/>
          </w:rPr>
          <w:t>http://www.mkvk.hu/szervezet/bizottsagok/szakertoi/tudastar</w:t>
        </w:r>
      </w:hyperlink>
      <w:r w:rsidR="000B104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/ </w:t>
      </w: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„Segédlet a jogszabályi kötelezettségen alapuló könyvvizsgálói tevékenységért járó díjak meghatározásának szempontjaihoz” cím alatt, letölthető formában.</w:t>
      </w: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Szakértői Bizottság a 2016. évi munkatervébe felvette a 2012. évi díjajánlás felülvizsgálatát és annak aktual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i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zálását. Ennek a munkának az eredményeként:</w:t>
      </w:r>
    </w:p>
    <w:p w:rsidR="000B1044" w:rsidRPr="00FC2D35" w:rsidRDefault="000B1044" w:rsidP="000B1044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0B1044" w:rsidP="00B13F5F">
      <w:pPr>
        <w:pStyle w:val="Listaszerbekezds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bizottság úgy ítélte meg, hogy a 2012. évi díjajánlás ebben a formában továbbra is fenntartható, és a benne lévő átlagos óraráfordítás adatok, valamint minimális díjtétel értékek iránymutatásként továbbra is használhatók,</w:t>
      </w:r>
    </w:p>
    <w:p w:rsidR="000B1044" w:rsidRPr="00FC2D35" w:rsidRDefault="000B1044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0B1044" w:rsidRPr="00FC2D35" w:rsidRDefault="000B1044">
      <w:pPr>
        <w:pStyle w:val="Listaszerbekezds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bizottság a díjajánlás felülvizsgálata keretében úgy határozott, hogy az előzőek fenntartása mellett, azzal igyekszik további segítséget nyújtani a könyvvizsgálóknak, hogy egy átlagosnak tekinthető cégre vonatkozó konkrét kalkulációt (mintapéldát, esettanulmányt) ad közre annak szemléltetésére, hogy az adott cégre mekkora minimális óraráfordítás</w:t>
      </w:r>
      <w:r w:rsidR="00D06EEB" w:rsidRPr="00FC2D35">
        <w:rPr>
          <w:rFonts w:asciiTheme="majorBidi" w:hAnsiTheme="majorBidi" w:cstheme="majorBidi"/>
          <w:sz w:val="20"/>
          <w:szCs w:val="20"/>
          <w:lang w:val="hu-HU"/>
        </w:rPr>
        <w:t>t indokolt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kalkulál</w:t>
      </w:r>
      <w:r w:rsidR="00D06EEB" w:rsidRPr="00FC2D35">
        <w:rPr>
          <w:rFonts w:asciiTheme="majorBidi" w:hAnsiTheme="majorBidi" w:cstheme="majorBidi"/>
          <w:sz w:val="20"/>
          <w:szCs w:val="20"/>
          <w:lang w:val="hu-HU"/>
        </w:rPr>
        <w:t>ni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</w:t>
      </w:r>
    </w:p>
    <w:p w:rsidR="000B1044" w:rsidRPr="00FC2D35" w:rsidRDefault="000B1044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232D0D" w:rsidRPr="00FC2D35" w:rsidRDefault="00232D0D" w:rsidP="0010013B">
      <w:pPr>
        <w:rPr>
          <w:rFonts w:asciiTheme="majorBidi" w:hAnsiTheme="majorBidi" w:cstheme="majorBidi"/>
          <w:bCs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A korábbi ajánlás hangsúlyozta, hogy az nem tekinthető kötelező érvénnyel alkalmazandónak az ügyfele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k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kel/megbízókkal folytatott díjtárgyalások során. valamint a megbízás sajátosságaira tekintettel</w:t>
      </w:r>
      <w:r w:rsidR="00834EB3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akár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+/- 20 %-os eltérést elfogadhatónak minősített a táblázatokban szereplő értékektől. 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Ezek a kitételek ma is 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érvényese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k, és a most közreadott esettanulmányra is ugyan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úgy 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>fennállnak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. A</w:t>
      </w:r>
      <w:r w:rsidR="00834EB3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bemutatott tételek (óraszámok) tehát nem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kötelez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ő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en betartandó mértékek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, 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hanem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>egy olyan szemléltető példának tekintendő</w:t>
      </w:r>
      <w:r w:rsidR="00834EB3" w:rsidRPr="00FC2D35">
        <w:rPr>
          <w:rFonts w:asciiTheme="majorBidi" w:hAnsiTheme="majorBidi" w:cstheme="majorBidi"/>
          <w:bCs/>
          <w:sz w:val="20"/>
          <w:szCs w:val="20"/>
          <w:lang w:val="hu-HU"/>
        </w:rPr>
        <w:t>k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, amely 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a 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szakértői bizottság által ésszerűnek minősített és a </w:t>
      </w:r>
      <w:r w:rsidRPr="00FC2D35">
        <w:rPr>
          <w:rFonts w:asciiTheme="majorBidi" w:hAnsiTheme="majorBidi" w:cstheme="majorBidi"/>
          <w:bCs/>
          <w:sz w:val="20"/>
          <w:szCs w:val="20"/>
          <w:lang w:val="hu-HU"/>
        </w:rPr>
        <w:t>gyakorlat által is igazolt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 példán keresztül mutatja be </w:t>
      </w:r>
      <w:r w:rsidR="00834EB3" w:rsidRPr="00FC2D35">
        <w:rPr>
          <w:rFonts w:asciiTheme="majorBidi" w:hAnsiTheme="majorBidi" w:cstheme="majorBidi"/>
          <w:bCs/>
          <w:sz w:val="20"/>
          <w:szCs w:val="20"/>
          <w:lang w:val="hu-HU"/>
        </w:rPr>
        <w:t xml:space="preserve">a 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munkaóra ráfordítások megh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a</w:t>
      </w:r>
      <w:r w:rsidR="00D06EEB" w:rsidRPr="00FC2D35">
        <w:rPr>
          <w:rFonts w:asciiTheme="majorBidi" w:hAnsiTheme="majorBidi" w:cstheme="majorBidi"/>
          <w:bCs/>
          <w:sz w:val="20"/>
          <w:szCs w:val="20"/>
          <w:lang w:val="hu-HU"/>
        </w:rPr>
        <w:t>tározásá</w:t>
      </w:r>
      <w:r w:rsidR="003F6FFB" w:rsidRPr="00FC2D35">
        <w:rPr>
          <w:rFonts w:asciiTheme="majorBidi" w:hAnsiTheme="majorBidi" w:cstheme="majorBidi"/>
          <w:bCs/>
          <w:sz w:val="20"/>
          <w:szCs w:val="20"/>
          <w:lang w:val="hu-HU"/>
        </w:rPr>
        <w:t>nak módját</w:t>
      </w:r>
      <w:r w:rsidR="00761230" w:rsidRPr="00FC2D35">
        <w:rPr>
          <w:rFonts w:asciiTheme="majorBidi" w:hAnsiTheme="majorBidi" w:cstheme="majorBidi"/>
          <w:bCs/>
          <w:sz w:val="20"/>
          <w:szCs w:val="20"/>
          <w:lang w:val="hu-HU"/>
        </w:rPr>
        <w:t>.</w:t>
      </w:r>
    </w:p>
    <w:p w:rsidR="000B1044" w:rsidRPr="00FC2D35" w:rsidRDefault="000B1044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0B1044" w:rsidRPr="00FC2D35" w:rsidRDefault="000B1044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10013B" w:rsidRPr="00FC2D35" w:rsidRDefault="0010013B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>Jelenlegi tendenciák</w:t>
      </w:r>
      <w:r w:rsidR="003D56CC"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 a könyvvizsgálói díjak alakulásában</w:t>
      </w: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 </w:t>
      </w:r>
    </w:p>
    <w:p w:rsidR="001C26D3" w:rsidRPr="00FC2D35" w:rsidRDefault="001C26D3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10013B" w:rsidRPr="00FC2D35" w:rsidRDefault="00834EB3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vállalkozások az általános költségeik csökkentése érdekében – az adminisztrációs költségek csökkentése me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>lett – a könyvvizsgálói díjak minél alacsonyabb szinten tartásában érdekeltek. Ez, valamint a piaci koncentráció miatt kialakult versenyhelyzet arra ösztönzi a könyvvizsgálókat, hogy 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z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ügyfélkör megtartása 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érdekében minél alacsonyabb díjat ajánljanak. A 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>könyvvizsgáló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k, a könyvvizsgáló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társaságok a kieső bevételt azzal kompenzá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ják, hogy 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vagy alacsonyabb képzettségű munkatársakat alkalmaznak, vagy egyre több munkát vállalnak el a rentabilitásuk fenntartásához. Mindezek negatív hatással vannak 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minőségi munkavégzésre, és szakmánk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eli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s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mertségének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560C6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1001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növelése ellen hatnak. </w:t>
      </w:r>
    </w:p>
    <w:p w:rsidR="005B0E5A" w:rsidRPr="00FC2D35" w:rsidRDefault="005B0E5A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9C7F88" w:rsidRPr="00FC2D35" w:rsidRDefault="009C7F88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1C26D3" w:rsidRPr="00FC2D35" w:rsidRDefault="0010013B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A </w:t>
      </w:r>
      <w:r w:rsidR="009C7F88"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 xml:space="preserve">díjajánlás fenntartásának </w:t>
      </w:r>
      <w:r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>indok</w:t>
      </w:r>
      <w:r w:rsidR="009C7F88" w:rsidRPr="00FC2D35">
        <w:rPr>
          <w:rFonts w:asciiTheme="majorBidi" w:hAnsiTheme="majorBidi" w:cstheme="majorBidi"/>
          <w:b/>
          <w:bCs/>
          <w:sz w:val="20"/>
          <w:szCs w:val="20"/>
          <w:lang w:val="hu-HU"/>
        </w:rPr>
        <w:t>oltsága</w:t>
      </w:r>
    </w:p>
    <w:p w:rsidR="001C26D3" w:rsidRPr="00FC2D35" w:rsidRDefault="001C26D3" w:rsidP="0010013B">
      <w:pPr>
        <w:rPr>
          <w:rFonts w:asciiTheme="majorBidi" w:hAnsiTheme="majorBidi" w:cstheme="majorBidi"/>
          <w:b/>
          <w:bCs/>
          <w:sz w:val="20"/>
          <w:szCs w:val="20"/>
          <w:lang w:val="hu-HU"/>
        </w:rPr>
      </w:pPr>
    </w:p>
    <w:p w:rsidR="0010013B" w:rsidRPr="00FC2D35" w:rsidRDefault="0010013B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szakmai díjtételek segítséget jelent</w:t>
      </w:r>
      <w:r w:rsidR="00E42594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="00834EB3" w:rsidRPr="00FC2D35">
        <w:rPr>
          <w:rFonts w:asciiTheme="majorBidi" w:hAnsiTheme="majorBidi" w:cstheme="majorBidi"/>
          <w:sz w:val="20"/>
          <w:szCs w:val="20"/>
          <w:lang w:val="hu-HU"/>
        </w:rPr>
        <w:t>nek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 könyvvizsgálók számára 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>a megbízók felé tett ár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ajánlataik kidolgoz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á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sa során</w:t>
      </w:r>
      <w:r w:rsidR="00E4259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illetve </w:t>
      </w:r>
      <w:r w:rsidR="00F71063" w:rsidRPr="00FC2D35">
        <w:rPr>
          <w:rFonts w:asciiTheme="majorBidi" w:hAnsiTheme="majorBidi" w:cstheme="majorBidi"/>
          <w:sz w:val="20"/>
          <w:szCs w:val="20"/>
          <w:lang w:val="hu-HU"/>
        </w:rPr>
        <w:t>támpontot ad</w:t>
      </w:r>
      <w:r w:rsidR="00E42594" w:rsidRPr="00FC2D35">
        <w:rPr>
          <w:rFonts w:asciiTheme="majorBidi" w:hAnsiTheme="majorBidi" w:cstheme="majorBidi"/>
          <w:sz w:val="20"/>
          <w:szCs w:val="20"/>
          <w:lang w:val="hu-HU"/>
        </w:rPr>
        <w:t>nak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könyvvizsgálati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standardokban meghatározott 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szakmai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követelményeknek való megfeleléshez, a minőségi munkavégzéshez</w:t>
      </w:r>
      <w:r w:rsidR="00B375A8" w:rsidRPr="00FC2D35">
        <w:rPr>
          <w:rFonts w:asciiTheme="majorBidi" w:hAnsiTheme="majorBidi" w:cstheme="majorBidi"/>
          <w:sz w:val="20"/>
          <w:szCs w:val="20"/>
          <w:lang w:val="hu-HU"/>
        </w:rPr>
        <w:t>. T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ermészetesen az adott cégre vonatkozó specialitásokat, a könyvvizsgálat hatókörét, a 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becsült releváns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kockázatokat, </w:t>
      </w:r>
      <w:proofErr w:type="spellStart"/>
      <w:r w:rsidRPr="00FC2D35">
        <w:rPr>
          <w:rFonts w:asciiTheme="majorBidi" w:hAnsiTheme="majorBidi" w:cstheme="majorBidi"/>
          <w:sz w:val="20"/>
          <w:szCs w:val="20"/>
          <w:lang w:val="hu-HU"/>
        </w:rPr>
        <w:t>stb</w:t>
      </w:r>
      <w:proofErr w:type="spellEnd"/>
      <w:r w:rsidR="00B375A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minden esetben egyedileg mérlegelni kell. Mind</w:t>
      </w:r>
      <w:r w:rsidR="00B375A8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="00B375A8" w:rsidRPr="00FC2D35">
        <w:rPr>
          <w:rFonts w:asciiTheme="majorBidi" w:hAnsiTheme="majorBidi" w:cstheme="majorBidi"/>
          <w:sz w:val="20"/>
          <w:szCs w:val="20"/>
          <w:lang w:val="hu-HU"/>
        </w:rPr>
        <w:t>zek figyelembevételével határozható meg, hogy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az adott vállalkozás vonatkozásában mekkora lenne a „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>s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zakma” által 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elfogadott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munkaóra ráfordítás, és ehhez kapcsolódóan milyen mértékű lenne a 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>tolerálható (elfogadható)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minimális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könyvvizsgáló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>i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díj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>, amely még elfogadható megtérülést is biztosít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. A könyvvizsgáló számára támpo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n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tot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adhat ez ahhoz is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 hogy a standardokban elvárt követelmények teljesítéséhez - az átlagos feltételeket figy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lembe véve -, milyen könyvvizsgálói stratégiát alakítson ki a munka elvégzéséhez szükséges óraszám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ok tervez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é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sénél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 illetve az ajánl</w:t>
      </w:r>
      <w:r w:rsidR="00B7406C" w:rsidRPr="00FC2D35">
        <w:rPr>
          <w:rFonts w:asciiTheme="majorBidi" w:hAnsiTheme="majorBidi" w:cstheme="majorBidi"/>
          <w:sz w:val="20"/>
          <w:szCs w:val="20"/>
          <w:lang w:val="hu-HU"/>
        </w:rPr>
        <w:t>ásban foglaltak figyelembe vételével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kialakított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díjtétel 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széleskörű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alkalmazása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hozzájáru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hat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z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elfogadhatatlanul alacsony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ezzel mindenki érdekeit sértő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könyvvizsgálói 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 xml:space="preserve">díjajánlatok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megszüntetés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é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hez. 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Az ajánlásban foglaltak megismerése továbbá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segít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>heti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megbízó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kat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abban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 hogy a könyvvizsgáló megv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á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lasztás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>ára irányuló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versenyeztetési eljárások során </w:t>
      </w:r>
      <w:r w:rsidR="0045476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döntéseiket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szakmai 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 xml:space="preserve">megfontolások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alap</w:t>
      </w:r>
      <w:r w:rsidR="001B41B0" w:rsidRPr="00FC2D35">
        <w:rPr>
          <w:rFonts w:asciiTheme="majorBidi" w:hAnsiTheme="majorBidi" w:cstheme="majorBidi"/>
          <w:sz w:val="20"/>
          <w:szCs w:val="20"/>
          <w:lang w:val="hu-HU"/>
        </w:rPr>
        <w:t>ján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ne a legalacs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o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nyabb ár figyelembevételével hozzák meg. </w:t>
      </w:r>
    </w:p>
    <w:p w:rsidR="009C7F88" w:rsidRPr="00FC2D35" w:rsidRDefault="009C7F88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9C7F88" w:rsidRPr="00FC2D35" w:rsidRDefault="009C7F88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1C26D3" w:rsidRPr="00FC2D35" w:rsidRDefault="0010013B" w:rsidP="0010013B">
      <w:p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9C7F88"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A könyvvizsgálói </w:t>
      </w:r>
      <w:r w:rsidR="009D7464" w:rsidRPr="00FC2D35">
        <w:rPr>
          <w:rFonts w:asciiTheme="majorBidi" w:hAnsiTheme="majorBidi" w:cstheme="majorBidi"/>
          <w:b/>
          <w:sz w:val="20"/>
          <w:szCs w:val="20"/>
          <w:lang w:val="hu-HU"/>
        </w:rPr>
        <w:t>szolgáltatás</w:t>
      </w:r>
      <w:r w:rsidR="009C7F88"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 á</w:t>
      </w:r>
      <w:r w:rsidR="003A1013" w:rsidRPr="00FC2D35">
        <w:rPr>
          <w:rFonts w:asciiTheme="majorBidi" w:hAnsiTheme="majorBidi" w:cstheme="majorBidi"/>
          <w:b/>
          <w:sz w:val="20"/>
          <w:szCs w:val="20"/>
          <w:lang w:val="hu-HU"/>
        </w:rPr>
        <w:t>razás</w:t>
      </w:r>
      <w:r w:rsidR="009C7F88" w:rsidRPr="00FC2D35">
        <w:rPr>
          <w:rFonts w:asciiTheme="majorBidi" w:hAnsiTheme="majorBidi" w:cstheme="majorBidi"/>
          <w:b/>
          <w:sz w:val="20"/>
          <w:szCs w:val="20"/>
          <w:lang w:val="hu-HU"/>
        </w:rPr>
        <w:t>a</w:t>
      </w:r>
    </w:p>
    <w:p w:rsidR="001C26D3" w:rsidRPr="00FC2D35" w:rsidRDefault="001C26D3" w:rsidP="0010013B">
      <w:pPr>
        <w:rPr>
          <w:rFonts w:asciiTheme="majorBidi" w:hAnsiTheme="majorBidi" w:cstheme="majorBidi"/>
          <w:b/>
          <w:sz w:val="20"/>
          <w:szCs w:val="20"/>
          <w:lang w:val="hu-HU"/>
        </w:rPr>
      </w:pPr>
    </w:p>
    <w:p w:rsidR="00E97F45" w:rsidRPr="00FC2D35" w:rsidRDefault="004D0DD1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Ajánlat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adáskor két tényező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játszik szerepet az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áraz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ásban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 xml:space="preserve">, egyrészt a 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könyvvizsgálat elvégzéséhez 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 xml:space="preserve">szükséges 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munka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óra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ráfordítás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mennyisége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 xml:space="preserve">, másrészt a </w:t>
      </w:r>
      <w:r w:rsidR="00D00FF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könyvvizsgáló 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csapat összetétel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, szaktudás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a (mint a nyújtott szo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gáltatás minőségét kifejező tényező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>k</w:t>
      </w:r>
      <w:r w:rsidR="00781532" w:rsidRPr="00FC2D35">
        <w:rPr>
          <w:rFonts w:asciiTheme="majorBidi" w:hAnsiTheme="majorBidi" w:cstheme="majorBidi"/>
          <w:sz w:val="20"/>
          <w:szCs w:val="20"/>
          <w:lang w:val="hu-HU"/>
        </w:rPr>
        <w:t>)</w:t>
      </w:r>
      <w:r w:rsidR="005B0E5A" w:rsidRPr="00FC2D35">
        <w:rPr>
          <w:rFonts w:asciiTheme="majorBidi" w:hAnsiTheme="majorBidi" w:cstheme="majorBidi"/>
          <w:sz w:val="20"/>
          <w:szCs w:val="20"/>
          <w:lang w:val="hu-HU"/>
        </w:rPr>
        <w:t>.</w:t>
      </w:r>
    </w:p>
    <w:p w:rsidR="00D346E8" w:rsidRPr="00FC2D35" w:rsidRDefault="00D346E8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E36E96" w:rsidRPr="00FC2D35" w:rsidRDefault="00D00FF4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könyvvizsgáló csapat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(munkacsoport)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összetétele függ az elvégzendő feladatok bonyolultságától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</w:t>
      </w:r>
      <w:r w:rsidR="00C12EC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a szüks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é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ges speciális ismeretek iránti igénytől, </w:t>
      </w:r>
      <w:r w:rsidR="00C12EC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ezért </w:t>
      </w:r>
      <w:r w:rsidR="00BB6203" w:rsidRPr="00FC2D35">
        <w:rPr>
          <w:rFonts w:asciiTheme="majorBidi" w:hAnsiTheme="majorBidi" w:cstheme="majorBidi"/>
          <w:sz w:val="20"/>
          <w:szCs w:val="20"/>
          <w:lang w:val="hu-HU"/>
        </w:rPr>
        <w:t>a csapat</w:t>
      </w:r>
      <w:r w:rsidR="00790A93" w:rsidRPr="00FC2D35">
        <w:rPr>
          <w:rFonts w:asciiTheme="majorBidi" w:hAnsiTheme="majorBidi" w:cstheme="majorBidi"/>
          <w:sz w:val="20"/>
          <w:szCs w:val="20"/>
          <w:lang w:val="hu-HU"/>
        </w:rPr>
        <w:t>ot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alkotó</w:t>
      </w:r>
      <w:r w:rsidR="00790A9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könyvvizsgáló partner (ha értelmezhető), az aláíró könyvvizsgáló,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790A93" w:rsidRPr="00FC2D35">
        <w:rPr>
          <w:rFonts w:asciiTheme="majorBidi" w:hAnsiTheme="majorBidi" w:cstheme="majorBidi"/>
          <w:sz w:val="20"/>
          <w:szCs w:val="20"/>
          <w:lang w:val="hu-HU"/>
        </w:rPr>
        <w:t>tapasztalt kö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>nyvvizsgáló asszisztens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ek</w:t>
      </w:r>
      <w:r w:rsidR="00790A9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790A93" w:rsidRPr="00FC2D35">
        <w:rPr>
          <w:rFonts w:asciiTheme="majorBidi" w:hAnsiTheme="majorBidi" w:cstheme="majorBidi"/>
          <w:sz w:val="20"/>
          <w:szCs w:val="20"/>
          <w:lang w:val="hu-HU"/>
        </w:rPr>
        <w:t>kevésbé tapasztalt könyvvizsgáló asszisztens</w:t>
      </w:r>
      <w:r w:rsidR="00316EEA" w:rsidRPr="00FC2D35">
        <w:rPr>
          <w:rFonts w:asciiTheme="majorBidi" w:hAnsiTheme="majorBidi" w:cstheme="majorBidi"/>
          <w:sz w:val="20"/>
          <w:szCs w:val="20"/>
          <w:lang w:val="hu-HU"/>
        </w:rPr>
        <w:t>ek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érvényesíteni kívánt óradíjai</w:t>
      </w:r>
      <w:r w:rsidR="00BB620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>természetesen el kell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>,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hogy térjenek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egymástól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. A feladatok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munkacsoporton belüli m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g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>osztásán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ak tervezésénél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díjkalkuláció szempontjából az a leghatékonyabb, ha </w:t>
      </w:r>
      <w:r w:rsidR="00B87E54"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="007927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csapatból 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alulról felfelé haladva </w:t>
      </w:r>
      <w:r w:rsidR="0079276C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az 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79276C" w:rsidRPr="00FC2D35">
        <w:rPr>
          <w:rFonts w:asciiTheme="majorBidi" w:hAnsiTheme="majorBidi" w:cstheme="majorBidi"/>
          <w:sz w:val="20"/>
          <w:szCs w:val="20"/>
          <w:lang w:val="hu-HU"/>
        </w:rPr>
        <w:t>szint vég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 xml:space="preserve">zi </w:t>
      </w:r>
      <w:r w:rsidR="0079276C" w:rsidRPr="00FC2D35">
        <w:rPr>
          <w:rFonts w:asciiTheme="majorBidi" w:hAnsiTheme="majorBidi" w:cstheme="majorBidi"/>
          <w:sz w:val="20"/>
          <w:szCs w:val="20"/>
          <w:lang w:val="hu-HU"/>
        </w:rPr>
        <w:t>el az adott feladatot, akitől a kellő minőség elvárható. Ezzel az időhatékonyság és a költséghatékonyság is teljesül.</w:t>
      </w:r>
      <w:r w:rsidR="00BB620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>Az egyes munkatársi szintekhez rendelt, elvárt óradíjak közti különbség</w:t>
      </w:r>
      <w:r w:rsidR="00D346E8" w:rsidRPr="00FC2D35">
        <w:rPr>
          <w:rFonts w:asciiTheme="majorBidi" w:hAnsiTheme="majorBidi" w:cstheme="majorBidi"/>
          <w:sz w:val="20"/>
          <w:szCs w:val="20"/>
          <w:lang w:val="hu-HU"/>
        </w:rPr>
        <w:t>ek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jele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>n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 xml:space="preserve">tős eltérést mutathatnak attól függően, hogy nagy könyvvizsgáló cég vagy </w:t>
      </w:r>
      <w:r w:rsidR="00D346E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A2352D" w:rsidRPr="00FC2D35">
        <w:rPr>
          <w:rFonts w:asciiTheme="majorBidi" w:hAnsiTheme="majorBidi" w:cstheme="majorBidi"/>
          <w:sz w:val="20"/>
          <w:szCs w:val="20"/>
          <w:lang w:val="hu-HU"/>
        </w:rPr>
        <w:t>kis</w:t>
      </w:r>
      <w:r w:rsidR="00D346E8" w:rsidRPr="00FC2D35">
        <w:rPr>
          <w:rFonts w:asciiTheme="majorBidi" w:hAnsiTheme="majorBidi" w:cstheme="majorBidi"/>
          <w:sz w:val="20"/>
          <w:szCs w:val="20"/>
          <w:lang w:val="hu-HU"/>
        </w:rPr>
        <w:t>-, illetve</w:t>
      </w:r>
      <w:r w:rsidR="004450D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középvállalkozások közé tartozó</w:t>
      </w:r>
      <w:r w:rsidR="004F55D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könyvvizsgáló társaság </w:t>
      </w:r>
      <w:r w:rsidR="00E36E9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illetve egyéni könyvvizsgáló </w:t>
      </w:r>
      <w:r w:rsidR="004F55D6" w:rsidRPr="00FC2D35">
        <w:rPr>
          <w:rFonts w:asciiTheme="majorBidi" w:hAnsiTheme="majorBidi" w:cstheme="majorBidi"/>
          <w:sz w:val="20"/>
          <w:szCs w:val="20"/>
          <w:lang w:val="hu-HU"/>
        </w:rPr>
        <w:t>nyújtja a könyvvizsgál</w:t>
      </w:r>
      <w:r w:rsidR="002E2E04" w:rsidRPr="00FC2D35">
        <w:rPr>
          <w:rFonts w:asciiTheme="majorBidi" w:hAnsiTheme="majorBidi" w:cstheme="majorBidi"/>
          <w:sz w:val="20"/>
          <w:szCs w:val="20"/>
          <w:lang w:val="hu-HU"/>
        </w:rPr>
        <w:t>ati</w:t>
      </w:r>
      <w:r w:rsidR="004F55D6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szolgáltatást.</w:t>
      </w:r>
      <w:r w:rsidR="004450D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</w:p>
    <w:p w:rsidR="00E36E96" w:rsidRPr="00FC2D35" w:rsidRDefault="00E36E96" w:rsidP="0010013B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5B0E5A" w:rsidRPr="00FC2D35" w:rsidRDefault="005B0E5A" w:rsidP="0010013B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könyvvizsgálathoz szükséges </w:t>
      </w:r>
      <w:r w:rsidR="00494574" w:rsidRPr="00FC2D35">
        <w:rPr>
          <w:rFonts w:asciiTheme="majorBidi" w:hAnsiTheme="majorBidi" w:cstheme="majorBidi"/>
          <w:sz w:val="20"/>
          <w:szCs w:val="20"/>
          <w:lang w:val="hu-HU"/>
        </w:rPr>
        <w:t>munka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idő</w:t>
      </w:r>
      <w:r w:rsidR="00352EA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ráfordítás </w:t>
      </w:r>
      <w:r w:rsidR="00953F5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mennyisége a megbízó gazdálkodóra jellemző több sajátos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tényezőtől függ, </w:t>
      </w:r>
      <w:r w:rsidR="000F260F" w:rsidRPr="00FC2D35">
        <w:rPr>
          <w:rFonts w:asciiTheme="majorBidi" w:hAnsiTheme="majorBidi" w:cstheme="majorBidi"/>
          <w:sz w:val="20"/>
          <w:szCs w:val="20"/>
          <w:lang w:val="hu-HU"/>
        </w:rPr>
        <w:t>amelyek</w:t>
      </w:r>
      <w:r w:rsidR="00953F5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figyelem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 xml:space="preserve">bevétele elengedhetetlen </w:t>
      </w:r>
      <w:r w:rsidR="00953F5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könyvvizsgálói díj kiszámítása során. Ezek </w:t>
      </w:r>
      <w:r w:rsidR="00E97F45" w:rsidRPr="00FC2D35">
        <w:rPr>
          <w:rFonts w:asciiTheme="majorBidi" w:hAnsiTheme="majorBidi" w:cstheme="majorBidi"/>
          <w:sz w:val="20"/>
          <w:szCs w:val="20"/>
          <w:lang w:val="hu-HU"/>
        </w:rPr>
        <w:t>közül a legfontosabbak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:</w:t>
      </w:r>
    </w:p>
    <w:p w:rsidR="005B0E5A" w:rsidRPr="00FC2D35" w:rsidRDefault="005B0E5A" w:rsidP="005B0E5A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vállalkozás nagyság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</w:t>
      </w:r>
    </w:p>
    <w:p w:rsidR="005B0E5A" w:rsidRPr="00FC2D35" w:rsidRDefault="005B0E5A" w:rsidP="005B0E5A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tevékenység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jellege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annak összetettség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</w:t>
      </w:r>
    </w:p>
    <w:p w:rsidR="005B0E5A" w:rsidRPr="00FC2D35" w:rsidRDefault="005B0E5A" w:rsidP="005B0E5A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jogszabályi környezet,</w:t>
      </w:r>
    </w:p>
    <w:p w:rsidR="005B0E5A" w:rsidRPr="00FC2D35" w:rsidRDefault="005B0E5A" w:rsidP="0010013B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belső kontrol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ok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kiépítettsége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azok hatékonyság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</w:t>
      </w:r>
    </w:p>
    <w:p w:rsidR="00E97F45" w:rsidRPr="00FC2D35" w:rsidRDefault="00E97F45" w:rsidP="0010013B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pénzügyi, számviteli adminisztráció képzettség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 munkavégzésének minőség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e,</w:t>
      </w:r>
    </w:p>
    <w:p w:rsidR="005B0E5A" w:rsidRPr="00FC2D35" w:rsidRDefault="005B0E5A" w:rsidP="0010013B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vezetés kockázatkezelés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ének minősége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, tisztesség</w:t>
      </w:r>
      <w:r w:rsidR="00677D0B" w:rsidRPr="00FC2D35">
        <w:rPr>
          <w:rFonts w:asciiTheme="majorBidi" w:hAnsiTheme="majorBidi" w:cstheme="majorBidi"/>
          <w:sz w:val="20"/>
          <w:szCs w:val="20"/>
          <w:lang w:val="hu-HU"/>
        </w:rPr>
        <w:t>e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stb.    </w:t>
      </w:r>
    </w:p>
    <w:p w:rsidR="005B0E5A" w:rsidRPr="00FC2D35" w:rsidRDefault="005B0E5A" w:rsidP="005B0E5A">
      <w:pPr>
        <w:rPr>
          <w:rFonts w:asciiTheme="majorBidi" w:hAnsiTheme="majorBidi" w:cstheme="majorBidi"/>
          <w:b/>
          <w:sz w:val="20"/>
          <w:szCs w:val="20"/>
          <w:lang w:val="hu-HU"/>
        </w:rPr>
      </w:pPr>
    </w:p>
    <w:p w:rsidR="00494574" w:rsidRPr="00FC2D35" w:rsidRDefault="00494574" w:rsidP="005B0E5A">
      <w:pPr>
        <w:rPr>
          <w:rFonts w:asciiTheme="majorBidi" w:hAnsiTheme="majorBidi" w:cstheme="majorBidi"/>
          <w:b/>
          <w:sz w:val="20"/>
          <w:szCs w:val="20"/>
          <w:lang w:val="hu-HU"/>
        </w:rPr>
      </w:pPr>
    </w:p>
    <w:p w:rsidR="005B0E5A" w:rsidRPr="00FC2D35" w:rsidRDefault="005B0E5A" w:rsidP="005B0E5A">
      <w:p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>Ajánlás</w:t>
      </w:r>
      <w:r w:rsidR="00494574"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 (mintapélda) egy átlagos jellemzőkkel bíró társaság</w:t>
      </w: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 könyvvizsgálat</w:t>
      </w:r>
      <w:r w:rsidR="00494574" w:rsidRPr="00FC2D35">
        <w:rPr>
          <w:rFonts w:asciiTheme="majorBidi" w:hAnsiTheme="majorBidi" w:cstheme="majorBidi"/>
          <w:b/>
          <w:sz w:val="20"/>
          <w:szCs w:val="20"/>
          <w:lang w:val="hu-HU"/>
        </w:rPr>
        <w:t>ának elvégzéséhez szükséges</w:t>
      </w: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 </w:t>
      </w:r>
      <w:r w:rsidR="00494574" w:rsidRPr="00FC2D35">
        <w:rPr>
          <w:rFonts w:asciiTheme="majorBidi" w:hAnsiTheme="majorBidi" w:cstheme="majorBidi"/>
          <w:b/>
          <w:sz w:val="20"/>
          <w:szCs w:val="20"/>
          <w:lang w:val="hu-HU"/>
        </w:rPr>
        <w:t>munka</w:t>
      </w: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>óra</w:t>
      </w:r>
      <w:r w:rsidR="00494574" w:rsidRPr="00FC2D35">
        <w:rPr>
          <w:rFonts w:asciiTheme="majorBidi" w:hAnsiTheme="majorBidi" w:cstheme="majorBidi"/>
          <w:b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>ráfordítás meghatározásához</w:t>
      </w:r>
    </w:p>
    <w:p w:rsidR="005B0E5A" w:rsidRPr="00FC2D35" w:rsidRDefault="005B0E5A" w:rsidP="005B0E5A">
      <w:pPr>
        <w:rPr>
          <w:rFonts w:asciiTheme="majorBidi" w:hAnsiTheme="majorBidi" w:cstheme="majorBidi"/>
          <w:b/>
          <w:sz w:val="20"/>
          <w:szCs w:val="20"/>
          <w:lang w:val="hu-HU"/>
        </w:rPr>
      </w:pPr>
    </w:p>
    <w:p w:rsidR="005B0E5A" w:rsidRPr="00FC2D35" w:rsidRDefault="005B0E5A" w:rsidP="00ED7DF5">
      <w:pPr>
        <w:pStyle w:val="Jegyzetszveg"/>
        <w:rPr>
          <w:rFonts w:asciiTheme="majorBidi" w:hAnsiTheme="majorBidi" w:cstheme="majorBidi"/>
          <w:lang w:val="hu-HU"/>
        </w:rPr>
      </w:pPr>
      <w:r w:rsidRPr="00FC2D35">
        <w:rPr>
          <w:rFonts w:asciiTheme="majorBidi" w:hAnsiTheme="majorBidi" w:cstheme="majorBidi"/>
          <w:lang w:val="hu-HU"/>
        </w:rPr>
        <w:t xml:space="preserve">A jelenlegi </w:t>
      </w:r>
      <w:r w:rsidR="00D8603B" w:rsidRPr="00FC2D35">
        <w:rPr>
          <w:rFonts w:asciiTheme="majorBidi" w:hAnsiTheme="majorBidi" w:cstheme="majorBidi"/>
          <w:lang w:val="hu-HU"/>
        </w:rPr>
        <w:t>minta</w:t>
      </w:r>
      <w:r w:rsidRPr="00FC2D35">
        <w:rPr>
          <w:rFonts w:asciiTheme="majorBidi" w:hAnsiTheme="majorBidi" w:cstheme="majorBidi"/>
          <w:lang w:val="hu-HU"/>
        </w:rPr>
        <w:t xml:space="preserve">ajánlás a könyvvizsgálati munka egyes szakaszait, az azokhoz kapcsolódó könyvvizsgálati eljárásokat, dokumentációs és minőségi követelményeket figyelembe véve határozza meg egy </w:t>
      </w:r>
      <w:r w:rsidR="00D8603B" w:rsidRPr="00FC2D35">
        <w:rPr>
          <w:rFonts w:asciiTheme="majorBidi" w:hAnsiTheme="majorBidi" w:cstheme="majorBidi"/>
          <w:lang w:val="hu-HU"/>
        </w:rPr>
        <w:t>átlagos jelle</w:t>
      </w:r>
      <w:r w:rsidR="00D8603B" w:rsidRPr="00FC2D35">
        <w:rPr>
          <w:rFonts w:asciiTheme="majorBidi" w:hAnsiTheme="majorBidi" w:cstheme="majorBidi"/>
          <w:lang w:val="hu-HU"/>
        </w:rPr>
        <w:t>m</w:t>
      </w:r>
      <w:r w:rsidR="00D8603B" w:rsidRPr="00FC2D35">
        <w:rPr>
          <w:rFonts w:asciiTheme="majorBidi" w:hAnsiTheme="majorBidi" w:cstheme="majorBidi"/>
          <w:lang w:val="hu-HU"/>
        </w:rPr>
        <w:t xml:space="preserve">zőkkel bíró </w:t>
      </w:r>
      <w:r w:rsidRPr="00FC2D35">
        <w:rPr>
          <w:rFonts w:asciiTheme="majorBidi" w:hAnsiTheme="majorBidi" w:cstheme="majorBidi"/>
          <w:lang w:val="hu-HU"/>
        </w:rPr>
        <w:t xml:space="preserve">vállalkozás könyvvizsgálatának becsült </w:t>
      </w:r>
      <w:r w:rsidR="00D8603B" w:rsidRPr="00FC2D35">
        <w:rPr>
          <w:rFonts w:asciiTheme="majorBidi" w:hAnsiTheme="majorBidi" w:cstheme="majorBidi"/>
          <w:lang w:val="hu-HU"/>
        </w:rPr>
        <w:t>munka</w:t>
      </w:r>
      <w:r w:rsidRPr="00FC2D35">
        <w:rPr>
          <w:rFonts w:asciiTheme="majorBidi" w:hAnsiTheme="majorBidi" w:cstheme="majorBidi"/>
          <w:lang w:val="hu-HU"/>
        </w:rPr>
        <w:t>óra</w:t>
      </w:r>
      <w:r w:rsidR="007A00B7" w:rsidRPr="00FC2D35">
        <w:rPr>
          <w:rFonts w:asciiTheme="majorBidi" w:hAnsiTheme="majorBidi" w:cstheme="majorBidi"/>
          <w:lang w:val="hu-HU"/>
        </w:rPr>
        <w:t xml:space="preserve"> </w:t>
      </w:r>
      <w:r w:rsidRPr="00FC2D35">
        <w:rPr>
          <w:rFonts w:asciiTheme="majorBidi" w:hAnsiTheme="majorBidi" w:cstheme="majorBidi"/>
          <w:lang w:val="hu-HU"/>
        </w:rPr>
        <w:t>ráfordításait.</w:t>
      </w:r>
      <w:r w:rsidR="00511441" w:rsidRPr="00FC2D35">
        <w:rPr>
          <w:rFonts w:asciiTheme="majorBidi" w:hAnsiTheme="majorBidi" w:cstheme="majorBidi"/>
          <w:lang w:val="hu-HU"/>
        </w:rPr>
        <w:t xml:space="preserve"> </w:t>
      </w:r>
    </w:p>
    <w:p w:rsidR="001C26D3" w:rsidRPr="00FC2D35" w:rsidRDefault="001C26D3" w:rsidP="005B0E5A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5B0E5A" w:rsidRPr="00FC2D35" w:rsidRDefault="005B0E5A" w:rsidP="005B0E5A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Az óraráfordítások meghatározásánál az alábbi feltételezéssel éltünk: </w:t>
      </w:r>
    </w:p>
    <w:p w:rsidR="00B103E4" w:rsidRPr="00FC2D35" w:rsidRDefault="00334F31" w:rsidP="00ED7DF5">
      <w:pPr>
        <w:numPr>
          <w:ilvl w:val="4"/>
          <w:numId w:val="2"/>
        </w:numPr>
        <w:tabs>
          <w:tab w:val="clear" w:pos="3600"/>
          <w:tab w:val="num" w:pos="709"/>
        </w:tabs>
        <w:ind w:left="709" w:hanging="283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könyvvizsgálat elfogadása szempontjából ez első könyvvizsgálat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(</w:t>
      </w:r>
      <w:r w:rsidR="00573825" w:rsidRPr="00FC2D35">
        <w:rPr>
          <w:rFonts w:asciiTheme="majorBidi" w:hAnsiTheme="majorBidi" w:cstheme="majorBidi"/>
          <w:sz w:val="20"/>
          <w:szCs w:val="20"/>
          <w:lang w:val="hu-HU"/>
        </w:rPr>
        <w:t>a követő évekre is található ajá</w:t>
      </w:r>
      <w:r w:rsidR="00573825" w:rsidRPr="00FC2D35">
        <w:rPr>
          <w:rFonts w:asciiTheme="majorBidi" w:hAnsiTheme="majorBidi" w:cstheme="majorBidi"/>
          <w:sz w:val="20"/>
          <w:szCs w:val="20"/>
          <w:lang w:val="hu-HU"/>
        </w:rPr>
        <w:t>n</w:t>
      </w:r>
      <w:r w:rsidR="00573825" w:rsidRPr="00FC2D35">
        <w:rPr>
          <w:rFonts w:asciiTheme="majorBidi" w:hAnsiTheme="majorBidi" w:cstheme="majorBidi"/>
          <w:sz w:val="20"/>
          <w:szCs w:val="20"/>
          <w:lang w:val="hu-HU"/>
        </w:rPr>
        <w:t>lás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>)</w:t>
      </w:r>
    </w:p>
    <w:p w:rsidR="00B103E4" w:rsidRPr="00FC2D35" w:rsidRDefault="00334F31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Társasági formája: KFT</w:t>
      </w:r>
    </w:p>
    <w:p w:rsidR="00B103E4" w:rsidRPr="00FC2D35" w:rsidRDefault="00334F31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jc w:val="left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Konszolidálásba bevont leányvállalat, az anyavállalat székhelye: Németország</w:t>
      </w:r>
    </w:p>
    <w:p w:rsidR="00B103E4" w:rsidRPr="00FC2D35" w:rsidRDefault="0072537D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Saját könyvelő apparátussal rendelkezik</w:t>
      </w:r>
    </w:p>
    <w:p w:rsidR="00B103E4" w:rsidRPr="00FC2D35" w:rsidRDefault="00334F31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Társaság építőipari szigetelőanyagok gyártásával foglalkozik</w:t>
      </w:r>
    </w:p>
    <w:p w:rsidR="001A3930" w:rsidRPr="00FC2D35" w:rsidRDefault="001A3930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Társaságnak jelentős vásárolt és sajáttermelésű (kész</w:t>
      </w:r>
      <w:r w:rsidR="00352EAB" w:rsidRPr="00FC2D35">
        <w:rPr>
          <w:rFonts w:asciiTheme="majorBidi" w:hAnsiTheme="majorBidi" w:cstheme="majorBidi"/>
          <w:sz w:val="20"/>
          <w:szCs w:val="20"/>
          <w:lang w:val="hu-HU"/>
        </w:rPr>
        <w:t>-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és félkész</w:t>
      </w:r>
      <w:r w:rsidR="00352EA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termék) készlete</w:t>
      </w:r>
      <w:r w:rsidR="00352EA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van</w:t>
      </w:r>
    </w:p>
    <w:p w:rsidR="00B103E4" w:rsidRPr="00FC2D35" w:rsidRDefault="00334F31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Árbevétele meghaladja a 1,5 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>Mrd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Ft-ot</w:t>
      </w:r>
    </w:p>
    <w:p w:rsidR="00B103E4" w:rsidRPr="00FC2D35" w:rsidRDefault="00334F31" w:rsidP="005B0E5A">
      <w:pPr>
        <w:numPr>
          <w:ilvl w:val="4"/>
          <w:numId w:val="2"/>
        </w:numPr>
        <w:tabs>
          <w:tab w:val="clear" w:pos="3600"/>
          <w:tab w:val="num" w:pos="709"/>
        </w:tabs>
        <w:ind w:hanging="3174"/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létszáma meghaladja az 50 főt</w:t>
      </w:r>
    </w:p>
    <w:p w:rsidR="001C26D3" w:rsidRPr="00FC2D35" w:rsidRDefault="001C26D3" w:rsidP="005B0E5A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FC2D35" w:rsidRDefault="005B0E5A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könyvvizsgáló társaság 2 fő könyvvizsgálót és 5 asszisztenst foglalkoztat. 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>A könyvvizsgálói jelentést a köny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>v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>vizsgáló partner (társaság nevében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)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és a személyében felelős könyvvizsgáló 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>írj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ák</w:t>
      </w:r>
      <w:r w:rsidR="00B450E7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alá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 xml:space="preserve">. A könyvvizsgálati csapatot 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rajtuk kívül 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még egy vizsgálatvezetőként működő tapasztalt asszisztens (</w:t>
      </w:r>
      <w:proofErr w:type="spellStart"/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senior</w:t>
      </w:r>
      <w:proofErr w:type="spellEnd"/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) és két kevésbé tapasztalt a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s</w:t>
      </w:r>
      <w:r w:rsidR="00433FA8" w:rsidRPr="00FC2D35">
        <w:rPr>
          <w:rFonts w:asciiTheme="majorBidi" w:hAnsiTheme="majorBidi" w:cstheme="majorBidi"/>
          <w:sz w:val="20"/>
          <w:szCs w:val="20"/>
          <w:lang w:val="hu-HU"/>
        </w:rPr>
        <w:t>szisztens alkotja.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Az óraráfordítások becslésénél a minimális óraszámok kerültek figyelembevételre, illetve az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volt a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feltételezé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>s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>, hogy a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könyvvizsgált társaságnál a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számviteli és pénzügyi adminisztráció kellően képzett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 szakemberekből áll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, a belső 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ügyviteli 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 xml:space="preserve">folyamatok szabályozottak, de a </w:t>
      </w:r>
      <w:r w:rsidR="00857783" w:rsidRPr="00FC2D35">
        <w:rPr>
          <w:rFonts w:asciiTheme="majorBidi" w:hAnsiTheme="majorBidi" w:cstheme="majorBidi"/>
          <w:sz w:val="20"/>
          <w:szCs w:val="20"/>
          <w:lang w:val="hu-HU"/>
        </w:rPr>
        <w:t xml:space="preserve">belső 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>kontro</w:t>
      </w:r>
      <w:r w:rsidR="0072537D" w:rsidRPr="00FC2D35">
        <w:rPr>
          <w:rFonts w:asciiTheme="majorBidi" w:hAnsiTheme="majorBidi" w:cstheme="majorBidi"/>
          <w:sz w:val="20"/>
          <w:szCs w:val="20"/>
          <w:lang w:val="hu-HU"/>
        </w:rPr>
        <w:t>l</w:t>
      </w:r>
      <w:r w:rsidR="00F91182" w:rsidRPr="00FC2D35">
        <w:rPr>
          <w:rFonts w:asciiTheme="majorBidi" w:hAnsiTheme="majorBidi" w:cstheme="majorBidi"/>
          <w:sz w:val="20"/>
          <w:szCs w:val="20"/>
          <w:lang w:val="hu-HU"/>
        </w:rPr>
        <w:t>lok nem dokumentáltak.</w:t>
      </w:r>
    </w:p>
    <w:p w:rsidR="00096089" w:rsidRPr="00ED7DF5" w:rsidRDefault="00096089">
      <w:pPr>
        <w:rPr>
          <w:lang w:val="hu-HU"/>
        </w:rPr>
      </w:pPr>
      <w:r w:rsidRPr="00ED7DF5">
        <w:rPr>
          <w:lang w:val="hu-HU"/>
        </w:rPr>
        <w:br w:type="page"/>
      </w:r>
    </w:p>
    <w:tbl>
      <w:tblPr>
        <w:tblStyle w:val="Rcsostblzat"/>
        <w:tblW w:w="109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3"/>
        <w:gridCol w:w="2250"/>
        <w:gridCol w:w="5783"/>
        <w:gridCol w:w="1276"/>
        <w:gridCol w:w="1203"/>
      </w:tblGrid>
      <w:tr w:rsidR="00AF51DF" w:rsidRPr="00996694" w:rsidTr="00194B2D">
        <w:tc>
          <w:tcPr>
            <w:tcW w:w="473" w:type="dxa"/>
            <w:shd w:val="clear" w:color="auto" w:fill="C4BC96" w:themeFill="background2" w:themeFillShade="BF"/>
            <w:vAlign w:val="center"/>
          </w:tcPr>
          <w:p w:rsidR="00EA3DAE" w:rsidRPr="00996694" w:rsidRDefault="00EA3DAE" w:rsidP="00D62F76">
            <w:pPr>
              <w:jc w:val="center"/>
              <w:rPr>
                <w:b/>
                <w:sz w:val="22"/>
                <w:lang w:val="hu-HU"/>
              </w:rPr>
            </w:pPr>
          </w:p>
          <w:p w:rsidR="00EA3DAE" w:rsidRPr="00996694" w:rsidRDefault="00EA3DAE" w:rsidP="00D62F76">
            <w:pPr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2250" w:type="dxa"/>
            <w:shd w:val="clear" w:color="auto" w:fill="C4BC96" w:themeFill="background2" w:themeFillShade="BF"/>
            <w:vAlign w:val="center"/>
          </w:tcPr>
          <w:p w:rsidR="0089777D" w:rsidRPr="00FC2D35" w:rsidRDefault="0089777D" w:rsidP="00D62F7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Audit munka sz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a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kaszai</w:t>
            </w:r>
          </w:p>
        </w:tc>
        <w:tc>
          <w:tcPr>
            <w:tcW w:w="5783" w:type="dxa"/>
            <w:shd w:val="clear" w:color="auto" w:fill="C4BC96" w:themeFill="background2" w:themeFillShade="BF"/>
            <w:vAlign w:val="center"/>
          </w:tcPr>
          <w:p w:rsidR="0089777D" w:rsidRPr="00FC2D35" w:rsidRDefault="0089777D" w:rsidP="00D62F7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Feladatok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89777D" w:rsidRPr="00FC2D35" w:rsidRDefault="0089777D" w:rsidP="00FE29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Óraszám: Első audit</w:t>
            </w:r>
          </w:p>
        </w:tc>
        <w:tc>
          <w:tcPr>
            <w:tcW w:w="1203" w:type="dxa"/>
            <w:shd w:val="clear" w:color="auto" w:fill="C4BC96" w:themeFill="background2" w:themeFillShade="BF"/>
            <w:vAlign w:val="center"/>
          </w:tcPr>
          <w:p w:rsidR="0089777D" w:rsidRPr="00FC2D35" w:rsidRDefault="0089777D" w:rsidP="002379A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Ór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a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szám: Követő évek</w:t>
            </w:r>
          </w:p>
        </w:tc>
      </w:tr>
      <w:tr w:rsidR="00AF51DF" w:rsidRPr="001766F9" w:rsidTr="00194B2D"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0</w:t>
            </w:r>
          </w:p>
        </w:tc>
        <w:tc>
          <w:tcPr>
            <w:tcW w:w="2250" w:type="dxa"/>
            <w:vAlign w:val="center"/>
          </w:tcPr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D17A73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Ajánlat adás</w:t>
            </w:r>
            <w:r w:rsidR="00FE291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– Megbízás elfogadása</w:t>
            </w:r>
          </w:p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783" w:type="dxa"/>
            <w:vAlign w:val="center"/>
          </w:tcPr>
          <w:p w:rsidR="0089777D" w:rsidRPr="00FC2D35" w:rsidRDefault="00FE2914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Megbízás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ill. ügyfél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elfogadás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ának/megtartásának mérlegelése és dokumentálása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(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etikai és függetlenségi követelményeknek való me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g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felelés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re ható</w:t>
            </w:r>
            <w:r w:rsidR="00F9118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tények és körülmények feltárása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  <w:r w:rsidR="000D697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89777D" w:rsidRPr="00FC2D35" w:rsidRDefault="002379A8" w:rsidP="004805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1</w:t>
            </w:r>
            <w:r w:rsidR="0048053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  <w:tc>
          <w:tcPr>
            <w:tcW w:w="1203" w:type="dxa"/>
            <w:vAlign w:val="center"/>
          </w:tcPr>
          <w:p w:rsidR="0089777D" w:rsidRPr="00FC2D35" w:rsidRDefault="002379A8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0,5</w:t>
            </w:r>
            <w:r w:rsidR="0048053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</w:tr>
      <w:tr w:rsidR="00AF51DF" w:rsidRPr="001766F9" w:rsidTr="00194B2D"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1</w:t>
            </w:r>
          </w:p>
        </w:tc>
        <w:tc>
          <w:tcPr>
            <w:tcW w:w="2250" w:type="dxa"/>
            <w:vAlign w:val="center"/>
          </w:tcPr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E678DF" w:rsidRPr="00FC2D35" w:rsidRDefault="00D17A73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Előkészítés</w:t>
            </w:r>
            <w:r w:rsidR="00FE291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– adatok rögzítése</w:t>
            </w:r>
          </w:p>
        </w:tc>
        <w:tc>
          <w:tcPr>
            <w:tcW w:w="5783" w:type="dxa"/>
            <w:vAlign w:val="center"/>
          </w:tcPr>
          <w:p w:rsidR="0089777D" w:rsidRPr="00FC2D35" w:rsidRDefault="00D17A73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Információk rög</w:t>
            </w:r>
            <w:r w:rsidR="00663A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zí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tése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gazdálkodóról,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cégkivonat, a korábbi b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számolók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ill. egyéb források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alapján</w:t>
            </w:r>
          </w:p>
        </w:tc>
        <w:tc>
          <w:tcPr>
            <w:tcW w:w="1276" w:type="dxa"/>
            <w:vAlign w:val="center"/>
          </w:tcPr>
          <w:p w:rsidR="0089777D" w:rsidRPr="00FC2D35" w:rsidRDefault="00D17A73" w:rsidP="004805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2</w:t>
            </w:r>
            <w:r w:rsidR="0048053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  <w:tc>
          <w:tcPr>
            <w:tcW w:w="1203" w:type="dxa"/>
            <w:vAlign w:val="center"/>
          </w:tcPr>
          <w:p w:rsidR="0089777D" w:rsidRPr="00FC2D35" w:rsidRDefault="002379A8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1</w:t>
            </w:r>
            <w:r w:rsidR="0048053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</w:tr>
      <w:tr w:rsidR="002379A8" w:rsidRPr="002379A8" w:rsidTr="00996694">
        <w:tc>
          <w:tcPr>
            <w:tcW w:w="10985" w:type="dxa"/>
            <w:gridSpan w:val="5"/>
            <w:shd w:val="clear" w:color="auto" w:fill="B8CCE4" w:themeFill="accent1" w:themeFillTint="66"/>
            <w:vAlign w:val="center"/>
          </w:tcPr>
          <w:p w:rsidR="002379A8" w:rsidRPr="00FC2D35" w:rsidRDefault="00152714" w:rsidP="002379A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KOCKÁZATBECSLÉS </w:t>
            </w:r>
            <w:proofErr w:type="gramStart"/>
            <w:r w:rsidR="00587C71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ÉS</w:t>
            </w:r>
            <w:proofErr w:type="gramEnd"/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</w:t>
            </w:r>
            <w:r w:rsidR="002379A8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TERVEZÉS</w:t>
            </w:r>
          </w:p>
        </w:tc>
      </w:tr>
      <w:tr w:rsidR="00AF51DF" w:rsidRPr="001766F9" w:rsidTr="00194B2D">
        <w:tc>
          <w:tcPr>
            <w:tcW w:w="473" w:type="dxa"/>
            <w:vAlign w:val="center"/>
          </w:tcPr>
          <w:p w:rsidR="0089777D" w:rsidRPr="001766F9" w:rsidRDefault="0089777D" w:rsidP="001D748D">
            <w:pPr>
              <w:jc w:val="left"/>
              <w:rPr>
                <w:lang w:val="hu-HU"/>
              </w:rPr>
            </w:pPr>
            <w:r w:rsidRPr="001766F9">
              <w:rPr>
                <w:lang w:val="hu-HU"/>
              </w:rPr>
              <w:t>2</w:t>
            </w:r>
          </w:p>
        </w:tc>
        <w:tc>
          <w:tcPr>
            <w:tcW w:w="2250" w:type="dxa"/>
            <w:vAlign w:val="center"/>
          </w:tcPr>
          <w:p w:rsidR="0089777D" w:rsidRPr="00FC2D35" w:rsidRDefault="002379A8" w:rsidP="002379A8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 vállalkozó és körny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zetének megismerése</w:t>
            </w:r>
          </w:p>
        </w:tc>
        <w:tc>
          <w:tcPr>
            <w:tcW w:w="5783" w:type="dxa"/>
            <w:vAlign w:val="center"/>
          </w:tcPr>
          <w:p w:rsidR="002379A8" w:rsidRPr="00FC2D35" w:rsidRDefault="002379A8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Szabályozási környezet</w:t>
            </w:r>
          </w:p>
          <w:p w:rsidR="00D17A73" w:rsidRPr="00FC2D35" w:rsidRDefault="00D17A73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Szervezeti ábra, tulajdonosok </w:t>
            </w:r>
            <w:r w:rsidR="0015271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megismerése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feltérképezése</w:t>
            </w:r>
          </w:p>
          <w:p w:rsidR="0089777D" w:rsidRPr="00FC2D35" w:rsidRDefault="00D17A73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Társasági szerződés (alapító okirat)</w:t>
            </w:r>
          </w:p>
          <w:p w:rsidR="00D17A73" w:rsidRPr="00FC2D35" w:rsidRDefault="00D17A73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Kapcsolt vállalkozások </w:t>
            </w:r>
            <w:r w:rsidR="0015271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megismerése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tranzakció típusok felm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rése</w:t>
            </w:r>
          </w:p>
          <w:p w:rsidR="00D17A73" w:rsidRPr="00FC2D35" w:rsidRDefault="00D17A73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Főbb jogsz</w:t>
            </w:r>
            <w:r w:rsidR="00663A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bályok megismerése</w:t>
            </w:r>
          </w:p>
          <w:p w:rsidR="00D17A73" w:rsidRPr="00FC2D35" w:rsidRDefault="00D17A73" w:rsidP="00E368D7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 számviteli politika főbb elemeinek megismerése</w:t>
            </w:r>
          </w:p>
          <w:p w:rsidR="00D17A73" w:rsidRPr="00194B2D" w:rsidRDefault="00663A40" w:rsidP="00194B2D">
            <w:pPr>
              <w:pStyle w:val="Listaszerbekezds"/>
              <w:numPr>
                <w:ilvl w:val="0"/>
                <w:numId w:val="4"/>
              </w:numPr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="00D17A73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lkalmazott informatikai rendszer megnevezése</w:t>
            </w:r>
          </w:p>
        </w:tc>
        <w:tc>
          <w:tcPr>
            <w:tcW w:w="1276" w:type="dxa"/>
            <w:vAlign w:val="center"/>
          </w:tcPr>
          <w:p w:rsidR="0089777D" w:rsidRPr="001766F9" w:rsidRDefault="00D17A73" w:rsidP="00FE2914">
            <w:pPr>
              <w:jc w:val="center"/>
              <w:rPr>
                <w:lang w:val="hu-HU"/>
              </w:rPr>
            </w:pPr>
            <w:r w:rsidRPr="001766F9">
              <w:rPr>
                <w:lang w:val="hu-HU"/>
              </w:rPr>
              <w:t>6</w:t>
            </w:r>
            <w:r w:rsidR="0048053D">
              <w:rPr>
                <w:lang w:val="hu-HU"/>
              </w:rPr>
              <w:t xml:space="preserve"> óra</w:t>
            </w:r>
          </w:p>
        </w:tc>
        <w:tc>
          <w:tcPr>
            <w:tcW w:w="1203" w:type="dxa"/>
            <w:vAlign w:val="center"/>
          </w:tcPr>
          <w:p w:rsidR="0089777D" w:rsidRPr="001766F9" w:rsidRDefault="0048053D" w:rsidP="002379A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 óra</w:t>
            </w:r>
          </w:p>
        </w:tc>
      </w:tr>
      <w:tr w:rsidR="00AF51DF" w:rsidRPr="001766F9" w:rsidTr="00194B2D">
        <w:trPr>
          <w:trHeight w:val="1172"/>
        </w:trPr>
        <w:tc>
          <w:tcPr>
            <w:tcW w:w="473" w:type="dxa"/>
            <w:vAlign w:val="center"/>
          </w:tcPr>
          <w:p w:rsidR="0089777D" w:rsidRPr="001766F9" w:rsidRDefault="0089777D" w:rsidP="001D748D">
            <w:pPr>
              <w:jc w:val="left"/>
              <w:rPr>
                <w:lang w:val="hu-HU"/>
              </w:rPr>
            </w:pPr>
            <w:r w:rsidRPr="001766F9">
              <w:rPr>
                <w:lang w:val="hu-HU"/>
              </w:rPr>
              <w:t>3</w:t>
            </w:r>
          </w:p>
        </w:tc>
        <w:tc>
          <w:tcPr>
            <w:tcW w:w="2250" w:type="dxa"/>
            <w:vAlign w:val="center"/>
          </w:tcPr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102A20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Előzetes analitikus ele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zés és pénzügyi inform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á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ciók összegyűjtése</w:t>
            </w:r>
          </w:p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783" w:type="dxa"/>
            <w:vAlign w:val="center"/>
          </w:tcPr>
          <w:p w:rsidR="0089777D" w:rsidRPr="00FC2D35" w:rsidRDefault="00102A20" w:rsidP="00E368D7">
            <w:pPr>
              <w:pStyle w:val="Listaszerbekezds"/>
              <w:numPr>
                <w:ilvl w:val="0"/>
                <w:numId w:val="5"/>
              </w:numPr>
              <w:ind w:left="229" w:hanging="229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Előző évi beszámoló, főkönyvi kivonat, 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pénzügyi tervek, csopor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</w:t>
            </w:r>
            <w:r w:rsidR="00A97D0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jelentések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vezetői kontrolling jelentések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bekérése</w:t>
            </w:r>
          </w:p>
          <w:p w:rsidR="00102A20" w:rsidRPr="00FC2D35" w:rsidRDefault="00102A20" w:rsidP="00E368D7">
            <w:pPr>
              <w:pStyle w:val="Listaszerbekezds"/>
              <w:numPr>
                <w:ilvl w:val="0"/>
                <w:numId w:val="5"/>
              </w:numPr>
              <w:ind w:left="229" w:hanging="229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Összehasonlító elemzés elkészítése (a változások magyarázatára, majd az audit során kerül sor)</w:t>
            </w:r>
          </w:p>
        </w:tc>
        <w:tc>
          <w:tcPr>
            <w:tcW w:w="1276" w:type="dxa"/>
            <w:vAlign w:val="center"/>
          </w:tcPr>
          <w:p w:rsidR="0089777D" w:rsidRPr="001766F9" w:rsidRDefault="0048053D" w:rsidP="00FE291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 óra</w:t>
            </w:r>
          </w:p>
        </w:tc>
        <w:tc>
          <w:tcPr>
            <w:tcW w:w="1203" w:type="dxa"/>
            <w:vAlign w:val="center"/>
          </w:tcPr>
          <w:p w:rsidR="0089777D" w:rsidRPr="001766F9" w:rsidRDefault="0048053D" w:rsidP="002379A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 óra</w:t>
            </w:r>
          </w:p>
        </w:tc>
      </w:tr>
      <w:tr w:rsidR="00AF51DF" w:rsidRPr="001766F9" w:rsidTr="00194B2D">
        <w:trPr>
          <w:trHeight w:val="4750"/>
        </w:trPr>
        <w:tc>
          <w:tcPr>
            <w:tcW w:w="473" w:type="dxa"/>
            <w:vAlign w:val="center"/>
          </w:tcPr>
          <w:p w:rsidR="0089777D" w:rsidRPr="001766F9" w:rsidRDefault="0089777D" w:rsidP="001D748D">
            <w:pPr>
              <w:jc w:val="left"/>
              <w:rPr>
                <w:lang w:val="hu-HU"/>
              </w:rPr>
            </w:pPr>
            <w:r w:rsidRPr="001766F9">
              <w:rPr>
                <w:lang w:val="hu-HU"/>
              </w:rPr>
              <w:t>4</w:t>
            </w:r>
          </w:p>
        </w:tc>
        <w:tc>
          <w:tcPr>
            <w:tcW w:w="2250" w:type="dxa"/>
            <w:vAlign w:val="center"/>
          </w:tcPr>
          <w:p w:rsidR="002379A8" w:rsidRPr="00FC2D35" w:rsidRDefault="00E368D7" w:rsidP="00E368D7">
            <w:pPr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  <w:t>ÉVKÖZI VIZSGÁLATI SZAKASZ</w:t>
            </w:r>
          </w:p>
          <w:p w:rsidR="00E368D7" w:rsidRPr="00FC2D35" w:rsidRDefault="00E368D7" w:rsidP="002379A8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2379A8" w:rsidRPr="00FC2D35" w:rsidRDefault="00102A20" w:rsidP="002379A8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Kockázatok azonosítása és felmérése</w:t>
            </w:r>
            <w:r w:rsidR="002379A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belső ellenőrzési </w:t>
            </w:r>
            <w:r w:rsidR="00E368D7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és a releváns információs rendszeren keresztül </w:t>
            </w:r>
            <w:r w:rsidR="002379A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 </w:t>
            </w:r>
          </w:p>
          <w:p w:rsidR="0089777D" w:rsidRPr="00FC2D35" w:rsidRDefault="0089777D" w:rsidP="002379A8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783" w:type="dxa"/>
            <w:vAlign w:val="center"/>
          </w:tcPr>
          <w:p w:rsidR="0089777D" w:rsidRPr="00FC2D35" w:rsidRDefault="00E774AA" w:rsidP="00194B2D">
            <w:pPr>
              <w:pStyle w:val="Listaszerbekezds"/>
              <w:numPr>
                <w:ilvl w:val="0"/>
                <w:numId w:val="6"/>
              </w:numPr>
              <w:ind w:left="369" w:hanging="369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További, a gazdálkodó egység és környezetének megismerésére vonatkozó információk összegyűjtése (stratégia, finanszírozás, irányítás, 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b</w:t>
            </w:r>
            <w:r w:rsidR="008A1D2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első szabályozottság, szabályzatok részletes megi</w:t>
            </w:r>
            <w:r w:rsidR="008A1D2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</w:t>
            </w:r>
            <w:r w:rsidR="008A1D2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meré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se, jelentős ügyletcsoportok (rutin és nem rutin), száml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egyenlegek és közzétételek azonosítása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stb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.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</w:p>
          <w:p w:rsidR="00E774AA" w:rsidRPr="00FC2D35" w:rsidRDefault="00E774AA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Belső kontrollok felmé</w:t>
            </w:r>
            <w:r w:rsidR="00663A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rése, bele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értve a kontrollkörnyezetet, a kontrolltevékenységeket, IT környezetet, stb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.</w:t>
            </w:r>
          </w:p>
          <w:p w:rsidR="00E774AA" w:rsidRPr="00FC2D35" w:rsidRDefault="00E774AA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Kockázatok azonosítása: pénzügyi kimutatás szintjén, eredendő kockázat és ellenőrzési kockázat beazonosítása 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ügyletcsopo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</w:t>
            </w:r>
            <w:r w:rsidR="00587C71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tonként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és állításonként</w:t>
            </w:r>
            <w:r w:rsidR="00E6278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a</w:t>
            </w:r>
            <w:r w:rsidR="00A45DB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z elvárt </w:t>
            </w:r>
            <w:r w:rsidR="00E6278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bizonyosság </w:t>
            </w:r>
            <w:r w:rsidR="00A45DB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szintjének </w:t>
            </w:r>
            <w:r w:rsidR="00E6278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 meghatározása</w:t>
            </w:r>
          </w:p>
          <w:p w:rsidR="00C2072F" w:rsidRPr="00FC2D35" w:rsidRDefault="00C2072F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Csalás kockázatának felmérése</w:t>
            </w:r>
          </w:p>
          <w:p w:rsidR="00C2072F" w:rsidRPr="00FC2D35" w:rsidRDefault="00A45DB4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Vállalkozás </w:t>
            </w:r>
            <w:r w:rsidR="00C2072F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folytatása elv érvényesülésének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és az erre vonatk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o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zó 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esetleges kockázat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okn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 a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felmérése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becslése</w:t>
            </w:r>
          </w:p>
          <w:p w:rsidR="00C2072F" w:rsidRPr="00FC2D35" w:rsidRDefault="00C2072F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Pénzmosás és terrorizmus megelőzésére vonatkozó szabályok érvényesülése</w:t>
            </w:r>
          </w:p>
          <w:p w:rsidR="00AD5E22" w:rsidRPr="00FC2D35" w:rsidRDefault="00C2072F" w:rsidP="00E368D7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Lényegesség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végrehajtási lényegesség és egyér</w:t>
            </w:r>
            <w:r w:rsidR="00A45DB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elműen elh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nyagolható hiba határért</w:t>
            </w:r>
            <w:r w:rsidR="00A45DB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</w:t>
            </w:r>
            <w:r w:rsidR="00CF26F8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keinek a meghatározása</w:t>
            </w:r>
          </w:p>
          <w:p w:rsidR="00AD5E22" w:rsidRPr="00FC2D35" w:rsidRDefault="00AD5E22" w:rsidP="00194B2D">
            <w:pPr>
              <w:pStyle w:val="Listaszerbekezds"/>
              <w:numPr>
                <w:ilvl w:val="0"/>
                <w:numId w:val="6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Kontrolok hatékonyságára vonatkozó tesztek elvégzése (öss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hangban az előzetes audit stratégiával)</w:t>
            </w:r>
          </w:p>
        </w:tc>
        <w:tc>
          <w:tcPr>
            <w:tcW w:w="1276" w:type="dxa"/>
            <w:vAlign w:val="center"/>
          </w:tcPr>
          <w:p w:rsidR="00102A20" w:rsidRPr="0048053D" w:rsidRDefault="00102A20" w:rsidP="00FE2914">
            <w:pPr>
              <w:jc w:val="center"/>
              <w:rPr>
                <w:i/>
                <w:lang w:val="hu-HU"/>
              </w:rPr>
            </w:pPr>
            <w:r w:rsidRPr="0048053D">
              <w:rPr>
                <w:i/>
                <w:lang w:val="hu-HU"/>
              </w:rPr>
              <w:t>2 fő</w:t>
            </w:r>
            <w:r w:rsidR="00996694">
              <w:rPr>
                <w:i/>
                <w:lang w:val="hu-HU"/>
              </w:rPr>
              <w:t xml:space="preserve"> 4</w:t>
            </w:r>
            <w:r w:rsidRPr="0048053D">
              <w:rPr>
                <w:i/>
                <w:lang w:val="hu-HU"/>
              </w:rPr>
              <w:t xml:space="preserve"> nap</w:t>
            </w:r>
          </w:p>
          <w:p w:rsidR="006633C1" w:rsidRPr="001766F9" w:rsidRDefault="006633C1" w:rsidP="00FE2914">
            <w:pPr>
              <w:jc w:val="center"/>
              <w:rPr>
                <w:lang w:val="hu-HU"/>
              </w:rPr>
            </w:pPr>
          </w:p>
          <w:p w:rsidR="00102A20" w:rsidRPr="001766F9" w:rsidRDefault="00996694" w:rsidP="00FE291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64</w:t>
            </w:r>
            <w:r w:rsidR="0048053D">
              <w:rPr>
                <w:lang w:val="hu-HU"/>
              </w:rPr>
              <w:t xml:space="preserve"> óra</w:t>
            </w:r>
          </w:p>
        </w:tc>
        <w:tc>
          <w:tcPr>
            <w:tcW w:w="1203" w:type="dxa"/>
            <w:vAlign w:val="center"/>
          </w:tcPr>
          <w:p w:rsidR="00996694" w:rsidRPr="0048053D" w:rsidRDefault="00996694" w:rsidP="00996694">
            <w:pPr>
              <w:jc w:val="center"/>
              <w:rPr>
                <w:i/>
                <w:lang w:val="hu-HU"/>
              </w:rPr>
            </w:pPr>
            <w:r w:rsidRPr="0048053D">
              <w:rPr>
                <w:i/>
                <w:lang w:val="hu-HU"/>
              </w:rPr>
              <w:t>2 fő</w:t>
            </w:r>
            <w:r>
              <w:rPr>
                <w:i/>
                <w:lang w:val="hu-HU"/>
              </w:rPr>
              <w:t xml:space="preserve"> 3</w:t>
            </w:r>
            <w:r w:rsidRPr="0048053D">
              <w:rPr>
                <w:i/>
                <w:lang w:val="hu-HU"/>
              </w:rPr>
              <w:t xml:space="preserve"> nap</w:t>
            </w:r>
          </w:p>
          <w:p w:rsidR="00996694" w:rsidRPr="001766F9" w:rsidRDefault="00996694" w:rsidP="00996694">
            <w:pPr>
              <w:jc w:val="center"/>
              <w:rPr>
                <w:lang w:val="hu-HU"/>
              </w:rPr>
            </w:pPr>
          </w:p>
          <w:p w:rsidR="0089777D" w:rsidRPr="001766F9" w:rsidRDefault="00996694" w:rsidP="0099669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48 óra</w:t>
            </w:r>
          </w:p>
        </w:tc>
      </w:tr>
      <w:tr w:rsidR="00AF51DF" w:rsidRPr="001766F9" w:rsidTr="00194B2D">
        <w:trPr>
          <w:trHeight w:val="708"/>
        </w:trPr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5</w:t>
            </w:r>
          </w:p>
        </w:tc>
        <w:tc>
          <w:tcPr>
            <w:tcW w:w="2250" w:type="dxa"/>
            <w:vAlign w:val="center"/>
          </w:tcPr>
          <w:p w:rsidR="0089777D" w:rsidRPr="00FC2D35" w:rsidRDefault="00A53EB5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Audit stratégia és a könyvvizsgálati terv összeállítása</w:t>
            </w:r>
          </w:p>
          <w:p w:rsidR="00E368D7" w:rsidRPr="00FC2D35" w:rsidRDefault="00E368D7" w:rsidP="00E368D7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(Tervezési dokumentum)</w:t>
            </w:r>
          </w:p>
        </w:tc>
        <w:tc>
          <w:tcPr>
            <w:tcW w:w="5783" w:type="dxa"/>
            <w:vAlign w:val="center"/>
          </w:tcPr>
          <w:p w:rsidR="00B103E4" w:rsidRPr="00FC2D35" w:rsidRDefault="00334F31" w:rsidP="00E368D7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Audit stratégia és a könyvvizsgálati terv összeállítása: ütem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zés, könyvvizsgálati eljárások meghatározása a pénzügyi b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számoló egyes soraira a belső ellenőrzési kontrollok megléte</w:t>
            </w:r>
            <w:r w:rsidR="00AD5E2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és a beazonosított kockázatok alapján</w:t>
            </w:r>
          </w:p>
          <w:p w:rsidR="00AD5E22" w:rsidRPr="00FC2D35" w:rsidRDefault="00AD5E22" w:rsidP="00E368D7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 kontrol tesztek eredményének kiértékelése, könyvvizsgálati terv</w:t>
            </w:r>
            <w:r w:rsidR="00930846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ennek megfelelő módosítása</w:t>
            </w:r>
          </w:p>
          <w:p w:rsidR="00DC155D" w:rsidRPr="00FC2D35" w:rsidRDefault="00334F31" w:rsidP="00194B2D">
            <w:pPr>
              <w:pStyle w:val="Listaszerbekezds"/>
              <w:numPr>
                <w:ilvl w:val="0"/>
                <w:numId w:val="8"/>
              </w:num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Részletes </w:t>
            </w:r>
            <w:r w:rsidR="00930846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audit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munkaprogram </w:t>
            </w:r>
            <w:r w:rsidR="00AD5E2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(további könyvvizsgálati eljár</w:t>
            </w:r>
            <w:r w:rsidR="00AD5E2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á</w:t>
            </w:r>
            <w:r w:rsidR="00AD5E2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sok)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összeállítása</w:t>
            </w:r>
          </w:p>
        </w:tc>
        <w:tc>
          <w:tcPr>
            <w:tcW w:w="1276" w:type="dxa"/>
            <w:vAlign w:val="center"/>
          </w:tcPr>
          <w:p w:rsidR="0089777D" w:rsidRPr="00FC2D35" w:rsidRDefault="00A53EB5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12</w:t>
            </w:r>
            <w:r w:rsidR="0048053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  <w:tc>
          <w:tcPr>
            <w:tcW w:w="1203" w:type="dxa"/>
            <w:vAlign w:val="center"/>
          </w:tcPr>
          <w:p w:rsidR="0089777D" w:rsidRPr="00FC2D35" w:rsidRDefault="00996694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 óra</w:t>
            </w:r>
          </w:p>
        </w:tc>
      </w:tr>
    </w:tbl>
    <w:p w:rsidR="0048053D" w:rsidRDefault="0048053D"/>
    <w:p w:rsidR="0048053D" w:rsidRDefault="0048053D"/>
    <w:tbl>
      <w:tblPr>
        <w:tblStyle w:val="Rcsostblzat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3"/>
        <w:gridCol w:w="2876"/>
        <w:gridCol w:w="5157"/>
        <w:gridCol w:w="1203"/>
        <w:gridCol w:w="1348"/>
      </w:tblGrid>
      <w:tr w:rsidR="0048053D" w:rsidRPr="0048053D" w:rsidTr="002608AA">
        <w:tc>
          <w:tcPr>
            <w:tcW w:w="11057" w:type="dxa"/>
            <w:gridSpan w:val="5"/>
            <w:shd w:val="clear" w:color="auto" w:fill="DBE5F1" w:themeFill="accent1" w:themeFillTint="33"/>
            <w:vAlign w:val="center"/>
          </w:tcPr>
          <w:p w:rsidR="0048053D" w:rsidRPr="00FC2D35" w:rsidRDefault="0048053D" w:rsidP="0048053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KÖNYVVIZSGÁLATI BIZONYÍTÉKOK MEGSZERZÉSE </w:t>
            </w:r>
          </w:p>
        </w:tc>
      </w:tr>
      <w:tr w:rsidR="00AF51DF" w:rsidRPr="002E0E40" w:rsidTr="002608AA"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</w:t>
            </w:r>
          </w:p>
        </w:tc>
        <w:tc>
          <w:tcPr>
            <w:tcW w:w="2876" w:type="dxa"/>
            <w:vAlign w:val="center"/>
          </w:tcPr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  <w:t>ÉV VÉGI VIZSGÁLATI SZ</w:t>
            </w:r>
            <w:r w:rsidRPr="00FC2D35"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  <w:t>A</w:t>
            </w:r>
            <w:r w:rsidRPr="00FC2D35">
              <w:rPr>
                <w:rFonts w:asciiTheme="majorBidi" w:hAnsiTheme="majorBidi" w:cstheme="majorBidi"/>
                <w:b/>
                <w:i/>
                <w:sz w:val="20"/>
                <w:szCs w:val="20"/>
                <w:u w:val="single"/>
                <w:lang w:val="hu-HU"/>
              </w:rPr>
              <w:t>KASZ + LELTÁR</w:t>
            </w:r>
          </w:p>
          <w:p w:rsidR="00996694" w:rsidRPr="00FC2D35" w:rsidRDefault="00996694" w:rsidP="00996694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2D2793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Könyvvizsgálati eljárások elvé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g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zése </w:t>
            </w:r>
            <w:r w:rsidR="00775F6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(bizonyítékok összegyűjt</w:t>
            </w:r>
            <w:r w:rsidR="00775F6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</w:t>
            </w:r>
            <w:r w:rsidR="00775F6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se)</w:t>
            </w:r>
          </w:p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157" w:type="dxa"/>
            <w:vAlign w:val="center"/>
          </w:tcPr>
          <w:p w:rsidR="0089777D" w:rsidRPr="00FC2D35" w:rsidRDefault="00B9445D" w:rsidP="00775F6E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Részvétel a leltáron </w:t>
            </w:r>
          </w:p>
          <w:p w:rsidR="00F743B8" w:rsidRPr="00FC2D35" w:rsidRDefault="00F743B8" w:rsidP="00775F6E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Munkaprogram végrehajtása</w:t>
            </w:r>
            <w:proofErr w:type="gramStart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:</w:t>
            </w:r>
            <w:r w:rsidR="00AD5E22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lemző</w:t>
            </w:r>
            <w:proofErr w:type="gramEnd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eljárások, 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tételes (</w:t>
            </w:r>
            <w:proofErr w:type="spellStart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szubsztantív</w:t>
            </w:r>
            <w:proofErr w:type="spellEnd"/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tesztek, külső megerősítések, leltár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fe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l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dolgozása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stb</w:t>
            </w:r>
            <w:r w:rsidR="00E04F5A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.</w:t>
            </w:r>
          </w:p>
          <w:p w:rsidR="00F743B8" w:rsidRPr="00FC2D35" w:rsidRDefault="00F743B8" w:rsidP="00775F6E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Konklúzió levonása az elvégzett eljárásokra, a jelentős könyvvizsgálati területekre összefoglaló készítése</w:t>
            </w:r>
          </w:p>
          <w:p w:rsidR="0048053D" w:rsidRPr="00FC2D35" w:rsidRDefault="00B9445D" w:rsidP="00B9445D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Főlapok elkészítése </w:t>
            </w:r>
          </w:p>
        </w:tc>
        <w:tc>
          <w:tcPr>
            <w:tcW w:w="1203" w:type="dxa"/>
            <w:vAlign w:val="center"/>
          </w:tcPr>
          <w:p w:rsidR="0048053D" w:rsidRPr="00FC2D35" w:rsidRDefault="00304DB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Leltár: </w:t>
            </w:r>
          </w:p>
          <w:p w:rsidR="00304DB1" w:rsidRPr="00FC2D35" w:rsidRDefault="0048053D" w:rsidP="00FE291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br/>
            </w:r>
            <w:r w:rsidR="00304DB1" w:rsidRPr="00FC2D35"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  <w:t>1 fő 1 nap</w:t>
            </w:r>
          </w:p>
          <w:p w:rsidR="00304DB1" w:rsidRPr="00FC2D35" w:rsidRDefault="00304DB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8 óra</w:t>
            </w:r>
          </w:p>
          <w:p w:rsidR="006633C1" w:rsidRPr="00FC2D35" w:rsidRDefault="006633C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48053D" w:rsidRPr="00FC2D35" w:rsidRDefault="00304DB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proofErr w:type="spellStart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Final</w:t>
            </w:r>
            <w:proofErr w:type="spellEnd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: </w:t>
            </w:r>
          </w:p>
          <w:p w:rsidR="00304DB1" w:rsidRPr="00FC2D35" w:rsidRDefault="0048053D" w:rsidP="00FE291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br/>
            </w:r>
            <w:r w:rsidR="00304DB1" w:rsidRPr="00FC2D35"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  <w:t>2 fő 4 nap</w:t>
            </w:r>
          </w:p>
          <w:p w:rsidR="00304DB1" w:rsidRPr="00FC2D35" w:rsidRDefault="00304DB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64 óra</w:t>
            </w:r>
          </w:p>
          <w:p w:rsidR="006633C1" w:rsidRPr="00FC2D35" w:rsidRDefault="006633C1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304DB1" w:rsidRPr="00FC2D35" w:rsidRDefault="00996694" w:rsidP="004805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összesen: </w:t>
            </w:r>
            <w:r w:rsidRPr="00FC2D35">
              <w:rPr>
                <w:rFonts w:asciiTheme="majorBidi" w:hAnsiTheme="majorBidi" w:cstheme="majorBidi"/>
                <w:b/>
                <w:sz w:val="20"/>
                <w:szCs w:val="20"/>
                <w:lang w:val="hu-HU"/>
              </w:rPr>
              <w:t>72 óra</w:t>
            </w:r>
          </w:p>
        </w:tc>
        <w:tc>
          <w:tcPr>
            <w:tcW w:w="1348" w:type="dxa"/>
            <w:vAlign w:val="center"/>
          </w:tcPr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Leltár: </w:t>
            </w: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br/>
            </w:r>
            <w:r w:rsidRPr="00FC2D35"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  <w:t>1 fő 1 nap</w:t>
            </w: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8 óra</w:t>
            </w: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proofErr w:type="spellStart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Final</w:t>
            </w:r>
            <w:proofErr w:type="spellEnd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: </w:t>
            </w: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br/>
            </w:r>
            <w:r w:rsidRPr="00FC2D35">
              <w:rPr>
                <w:rFonts w:asciiTheme="majorBidi" w:hAnsiTheme="majorBidi" w:cstheme="majorBidi"/>
                <w:i/>
                <w:sz w:val="20"/>
                <w:szCs w:val="20"/>
                <w:lang w:val="hu-HU"/>
              </w:rPr>
              <w:t>2 fő 4 nap</w:t>
            </w:r>
          </w:p>
          <w:p w:rsidR="00996694" w:rsidRPr="00FC2D35" w:rsidRDefault="00996694" w:rsidP="0099669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64 óra</w:t>
            </w:r>
          </w:p>
          <w:p w:rsidR="00786420" w:rsidRPr="00FC2D35" w:rsidRDefault="00786420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996694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összesen: </w:t>
            </w:r>
            <w:r w:rsidRPr="00FC2D35">
              <w:rPr>
                <w:rFonts w:asciiTheme="majorBidi" w:hAnsiTheme="majorBidi" w:cstheme="majorBidi"/>
                <w:b/>
                <w:sz w:val="20"/>
                <w:szCs w:val="20"/>
                <w:lang w:val="hu-HU"/>
              </w:rPr>
              <w:t>72 óra</w:t>
            </w:r>
          </w:p>
        </w:tc>
      </w:tr>
      <w:tr w:rsidR="00AF51DF" w:rsidRPr="001766F9" w:rsidTr="002608AA"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7</w:t>
            </w:r>
          </w:p>
        </w:tc>
        <w:tc>
          <w:tcPr>
            <w:tcW w:w="2876" w:type="dxa"/>
            <w:vAlign w:val="center"/>
          </w:tcPr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5B61A4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Jogszabályi megfelelés ellenő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zése</w:t>
            </w:r>
          </w:p>
          <w:p w:rsidR="005B61A4" w:rsidRPr="00FC2D35" w:rsidRDefault="005B61A4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157" w:type="dxa"/>
            <w:vAlign w:val="center"/>
          </w:tcPr>
          <w:p w:rsidR="00DC155D" w:rsidRPr="00FC2D35" w:rsidRDefault="00DC155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0B7EFB" w:rsidRPr="00FC2D35" w:rsidRDefault="006D3631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Ellenőrzés, hogy az elkészített beszámoló formája és tartalma megfelel-e a</w:t>
            </w:r>
            <w:r w:rsidR="006629D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 érvényes előírásoknak (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számviteli törvény</w:t>
            </w:r>
            <w:r w:rsidR="006629D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31613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illetve, ha van, akkor a vonatkozó ágazati ko</w:t>
            </w:r>
            <w:r w:rsidR="0031613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</w:t>
            </w:r>
            <w:r w:rsidR="0031613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mányrendelet, vagy egyéb jogszabályi követelménye</w:t>
            </w:r>
            <w:r w:rsidR="0031613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</w:t>
            </w:r>
            <w:r w:rsidR="0031613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nek</w:t>
            </w:r>
            <w:r w:rsidR="006629DE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</w:p>
          <w:p w:rsidR="000B7EFB" w:rsidRPr="00FC2D35" w:rsidRDefault="000B7EFB" w:rsidP="000B7EFB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Kiegészítő melléklet és üzleti jelentés ellenőrzése</w:t>
            </w:r>
          </w:p>
          <w:p w:rsidR="00503133" w:rsidRPr="00FC2D35" w:rsidRDefault="00503133" w:rsidP="00ED7DF5">
            <w:pPr>
              <w:pStyle w:val="Listaszerbekezds"/>
              <w:ind w:left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1203" w:type="dxa"/>
            <w:vAlign w:val="center"/>
          </w:tcPr>
          <w:p w:rsidR="0089777D" w:rsidRPr="00FC2D35" w:rsidRDefault="00996694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8 óra</w:t>
            </w:r>
          </w:p>
        </w:tc>
        <w:tc>
          <w:tcPr>
            <w:tcW w:w="1348" w:type="dxa"/>
            <w:vAlign w:val="center"/>
          </w:tcPr>
          <w:p w:rsidR="0089777D" w:rsidRPr="00FC2D35" w:rsidRDefault="00996694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8 óra</w:t>
            </w:r>
          </w:p>
        </w:tc>
      </w:tr>
      <w:tr w:rsidR="00AF51DF" w:rsidRPr="001766F9" w:rsidTr="00ED7DF5">
        <w:trPr>
          <w:trHeight w:val="3556"/>
        </w:trPr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8</w:t>
            </w:r>
          </w:p>
        </w:tc>
        <w:tc>
          <w:tcPr>
            <w:tcW w:w="2876" w:type="dxa"/>
            <w:vAlign w:val="center"/>
          </w:tcPr>
          <w:p w:rsidR="0089777D" w:rsidRPr="00FC2D35" w:rsidRDefault="005B61A4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Véglegesítés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, eredmények átt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kintése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és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j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elentés készítés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e, </w:t>
            </w:r>
            <w:r w:rsidR="000B7EF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a </w:t>
            </w:r>
            <w:r w:rsidR="000D28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szükséges belső konz</w:t>
            </w:r>
            <w:r w:rsidR="000B7EF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ul</w:t>
            </w:r>
            <w:r w:rsidR="000D28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tációk lebonyolítása és dokumentálása</w:t>
            </w:r>
          </w:p>
        </w:tc>
        <w:tc>
          <w:tcPr>
            <w:tcW w:w="5157" w:type="dxa"/>
            <w:vAlign w:val="center"/>
          </w:tcPr>
          <w:p w:rsidR="00DC155D" w:rsidRPr="00FC2D35" w:rsidRDefault="00DC155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0D2840" w:rsidRPr="00FC2D35" w:rsidRDefault="000D2840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Audit módosítások összeállítása és leellenőrzése a kön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y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velésben</w:t>
            </w:r>
          </w:p>
          <w:p w:rsidR="006D3631" w:rsidRPr="00FC2D35" w:rsidRDefault="006D3631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A </w:t>
            </w:r>
            <w:r w:rsidR="000B7EFB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véglegesként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kapott beszámoló összehasonlítása az </w:t>
            </w:r>
            <w:proofErr w:type="spellStart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auditált</w:t>
            </w:r>
            <w:proofErr w:type="spellEnd"/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számokkal</w:t>
            </w:r>
          </w:p>
          <w:p w:rsidR="0089777D" w:rsidRPr="00FC2D35" w:rsidRDefault="00503133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A könyvvizsgálat végrehajtásának 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összefoglaló dok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u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mentumának elkészítése </w:t>
            </w:r>
          </w:p>
          <w:p w:rsidR="00503133" w:rsidRPr="00FC2D35" w:rsidRDefault="00503133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Teljességi nyilatkozat elkészítése, aláíratása</w:t>
            </w:r>
            <w:r w:rsidR="000D28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, 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az </w:t>
            </w:r>
            <w:r w:rsidR="000D2840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Ügyvédi teljességi nyilatkozat bekérése, feldolgozása</w:t>
            </w:r>
          </w:p>
          <w:p w:rsidR="00503133" w:rsidRPr="00FC2D35" w:rsidRDefault="00503133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Fordulónap utáni események vizsgálata</w:t>
            </w:r>
          </w:p>
          <w:p w:rsidR="00503133" w:rsidRPr="00FC2D35" w:rsidRDefault="00503133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Könyvvizsgálat </w:t>
            </w:r>
            <w:r w:rsidR="001705A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végrehajtás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ának </w:t>
            </w:r>
            <w:r w:rsidR="001705A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ellenőrzési list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ája</w:t>
            </w:r>
          </w:p>
          <w:p w:rsidR="001705AD" w:rsidRPr="00FC2D35" w:rsidRDefault="001705AD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Jelentés elkészítése</w:t>
            </w:r>
          </w:p>
          <w:p w:rsidR="006B7C09" w:rsidRPr="00FC2D35" w:rsidRDefault="006B7C09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Záró megbeszélés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az ügyféllel</w:t>
            </w:r>
          </w:p>
          <w:p w:rsidR="00503133" w:rsidRPr="00FC2D35" w:rsidRDefault="006B7C09" w:rsidP="00ED7DF5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Vezetői Levél témák összegyűjtése és a vezetői levél megírása</w:t>
            </w:r>
          </w:p>
        </w:tc>
        <w:tc>
          <w:tcPr>
            <w:tcW w:w="1203" w:type="dxa"/>
            <w:vAlign w:val="center"/>
          </w:tcPr>
          <w:p w:rsidR="0089777D" w:rsidRPr="00FC2D35" w:rsidRDefault="006B7C09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11 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óra</w:t>
            </w:r>
          </w:p>
        </w:tc>
        <w:tc>
          <w:tcPr>
            <w:tcW w:w="1348" w:type="dxa"/>
            <w:vAlign w:val="center"/>
          </w:tcPr>
          <w:p w:rsidR="0089777D" w:rsidRPr="00FC2D35" w:rsidRDefault="006B7C09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11 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óra</w:t>
            </w:r>
          </w:p>
        </w:tc>
      </w:tr>
      <w:tr w:rsidR="00AF51DF" w:rsidRPr="001766F9" w:rsidTr="002608AA">
        <w:tc>
          <w:tcPr>
            <w:tcW w:w="473" w:type="dxa"/>
            <w:vAlign w:val="center"/>
          </w:tcPr>
          <w:p w:rsidR="0089777D" w:rsidRPr="00FC2D35" w:rsidRDefault="0089777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9</w:t>
            </w:r>
          </w:p>
        </w:tc>
        <w:tc>
          <w:tcPr>
            <w:tcW w:w="2876" w:type="dxa"/>
            <w:vAlign w:val="center"/>
          </w:tcPr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  <w:p w:rsidR="0089777D" w:rsidRPr="00FC2D35" w:rsidRDefault="001705AD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Archi</w:t>
            </w:r>
            <w:r w:rsidR="005B61A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válás (nem része a honor</w:t>
            </w:r>
            <w:r w:rsidR="005B61A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á</w:t>
            </w:r>
            <w:r w:rsidR="005B61A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riumnak)</w:t>
            </w:r>
          </w:p>
          <w:p w:rsidR="00E678DF" w:rsidRPr="00FC2D35" w:rsidRDefault="00E678DF" w:rsidP="001D748D">
            <w:pPr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</w:p>
        </w:tc>
        <w:tc>
          <w:tcPr>
            <w:tcW w:w="5157" w:type="dxa"/>
            <w:vAlign w:val="center"/>
          </w:tcPr>
          <w:p w:rsidR="0089777D" w:rsidRPr="00FC2D35" w:rsidRDefault="001705AD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 dokumentáció teljes</w:t>
            </w:r>
            <w:r w:rsidR="0013411C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körűségének ellenőrzése</w:t>
            </w:r>
          </w:p>
          <w:p w:rsidR="001705AD" w:rsidRPr="00FC2D35" w:rsidRDefault="001705AD" w:rsidP="00996694">
            <w:pPr>
              <w:pStyle w:val="Listaszerbekezds"/>
              <w:numPr>
                <w:ilvl w:val="0"/>
                <w:numId w:val="9"/>
              </w:numPr>
              <w:ind w:left="371" w:hanging="371"/>
              <w:jc w:val="left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 w:rsidR="00566BCD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z audit</w:t>
            </w: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file archiválása</w:t>
            </w:r>
          </w:p>
        </w:tc>
        <w:tc>
          <w:tcPr>
            <w:tcW w:w="1203" w:type="dxa"/>
            <w:vAlign w:val="center"/>
          </w:tcPr>
          <w:p w:rsidR="0089777D" w:rsidRPr="00FC2D35" w:rsidRDefault="00756847" w:rsidP="00FE291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3</w:t>
            </w:r>
            <w:r w:rsidR="00996694"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 xml:space="preserve"> óra</w:t>
            </w:r>
          </w:p>
        </w:tc>
        <w:tc>
          <w:tcPr>
            <w:tcW w:w="1348" w:type="dxa"/>
            <w:vAlign w:val="center"/>
          </w:tcPr>
          <w:p w:rsidR="0089777D" w:rsidRPr="00FC2D35" w:rsidRDefault="00996694" w:rsidP="002379A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FC2D35">
              <w:rPr>
                <w:rFonts w:asciiTheme="majorBidi" w:hAnsiTheme="majorBidi" w:cstheme="majorBidi"/>
                <w:sz w:val="20"/>
                <w:szCs w:val="20"/>
                <w:lang w:val="hu-HU"/>
              </w:rPr>
              <w:t>3 óra</w:t>
            </w:r>
          </w:p>
        </w:tc>
      </w:tr>
      <w:tr w:rsidR="00996694" w:rsidRPr="00996694" w:rsidTr="002608AA">
        <w:tc>
          <w:tcPr>
            <w:tcW w:w="8506" w:type="dxa"/>
            <w:gridSpan w:val="3"/>
            <w:shd w:val="clear" w:color="auto" w:fill="DBE5F1" w:themeFill="accent1" w:themeFillTint="33"/>
            <w:vAlign w:val="center"/>
          </w:tcPr>
          <w:p w:rsidR="00996694" w:rsidRPr="00FC2D35" w:rsidRDefault="00996694" w:rsidP="00996694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</w:p>
          <w:p w:rsidR="00996694" w:rsidRPr="00FC2D35" w:rsidRDefault="00996694" w:rsidP="00996694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Összes szükséges óraráfordítás</w:t>
            </w:r>
          </w:p>
          <w:p w:rsidR="00996694" w:rsidRPr="00FC2D35" w:rsidRDefault="00996694" w:rsidP="00996694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2608AA" w:rsidRPr="00FC2D35" w:rsidRDefault="002608AA" w:rsidP="00FC2D3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1</w:t>
            </w:r>
            <w:r w:rsidR="006B7C09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82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óra</w:t>
            </w:r>
          </w:p>
          <w:p w:rsidR="002608AA" w:rsidRPr="00FC2D35" w:rsidRDefault="002608AA" w:rsidP="00665AF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2</w:t>
            </w:r>
            <w:r w:rsidR="00665AFF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3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e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m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bernap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:rsidR="00996694" w:rsidRPr="00FC2D35" w:rsidRDefault="002608AA" w:rsidP="002608AA">
            <w:pPr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1</w:t>
            </w:r>
            <w:r w:rsidR="006B7C09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53</w:t>
            </w: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,5 óra</w:t>
            </w:r>
          </w:p>
          <w:p w:rsidR="002608AA" w:rsidRPr="00FC2D35" w:rsidRDefault="00665AFF" w:rsidP="0099669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20</w:t>
            </w:r>
            <w:r w:rsidR="002608AA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embe</w:t>
            </w:r>
            <w:r w:rsidR="002608AA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r</w:t>
            </w:r>
            <w:r w:rsidR="002608AA" w:rsidRPr="00FC2D35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>nap</w:t>
            </w:r>
          </w:p>
        </w:tc>
      </w:tr>
    </w:tbl>
    <w:p w:rsidR="00A054AB" w:rsidRDefault="00A054AB" w:rsidP="001D748D">
      <w:pPr>
        <w:jc w:val="left"/>
        <w:rPr>
          <w:lang w:val="hu-HU"/>
        </w:rPr>
      </w:pPr>
    </w:p>
    <w:p w:rsidR="00E40574" w:rsidRDefault="00E40574" w:rsidP="001D748D">
      <w:pPr>
        <w:jc w:val="left"/>
        <w:rPr>
          <w:lang w:val="hu-HU"/>
        </w:rPr>
      </w:pPr>
    </w:p>
    <w:p w:rsidR="00A054AB" w:rsidRDefault="00A054AB" w:rsidP="001D748D">
      <w:pPr>
        <w:jc w:val="left"/>
        <w:rPr>
          <w:lang w:val="hu-HU"/>
        </w:rPr>
      </w:pPr>
    </w:p>
    <w:p w:rsidR="00AC5E57" w:rsidRPr="00FC2D35" w:rsidRDefault="00AC5E57" w:rsidP="00ED7DF5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Az ajánlásnak szánt mintapélda alapján a fenti részfeladatokra megtervezett munkaórák összegzésével kialakult, hogy az audit első évében, illetve a követő években mennyi a szükséges munkaóra ráfordítás, amit a fenti tábl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á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zat utolsó sora mutat. Az ajánlás ennél többre nem vállalkozik, azaz óradíjakra nem tartalmaz ajánlást</w:t>
      </w:r>
      <w:r w:rsidR="006629DE" w:rsidRPr="00FC2D35">
        <w:rPr>
          <w:rFonts w:asciiTheme="majorBidi" w:hAnsiTheme="majorBidi" w:cstheme="majorBidi"/>
          <w:sz w:val="20"/>
          <w:szCs w:val="20"/>
          <w:lang w:val="hu-HU"/>
        </w:rPr>
        <w:t>.</w:t>
      </w:r>
    </w:p>
    <w:p w:rsidR="00E93BE6" w:rsidRDefault="00E93BE6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A054AB" w:rsidRDefault="00A054AB">
      <w:pPr>
        <w:rPr>
          <w:rFonts w:asciiTheme="majorBidi" w:hAnsiTheme="majorBidi" w:cstheme="majorBidi"/>
          <w:sz w:val="20"/>
          <w:szCs w:val="20"/>
          <w:lang w:val="hu-HU"/>
        </w:rPr>
      </w:pPr>
      <w:r>
        <w:rPr>
          <w:rFonts w:asciiTheme="majorBidi" w:hAnsiTheme="majorBidi" w:cstheme="majorBidi"/>
          <w:sz w:val="20"/>
          <w:szCs w:val="20"/>
          <w:lang w:val="hu-HU"/>
        </w:rPr>
        <w:br w:type="page"/>
      </w:r>
    </w:p>
    <w:p w:rsidR="00E93BE6" w:rsidRPr="00FC2D35" w:rsidRDefault="00E93BE6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AC5E57" w:rsidRPr="00FC2D35" w:rsidRDefault="00AC5E57" w:rsidP="00ED7DF5">
      <w:pPr>
        <w:rPr>
          <w:rFonts w:asciiTheme="majorBidi" w:hAnsiTheme="majorBidi" w:cstheme="majorBidi"/>
          <w:b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b/>
          <w:sz w:val="20"/>
          <w:szCs w:val="20"/>
          <w:lang w:val="hu-HU"/>
        </w:rPr>
        <w:t>Összegzés</w:t>
      </w:r>
    </w:p>
    <w:p w:rsidR="00AC5E57" w:rsidRPr="00FC2D35" w:rsidRDefault="00AC5E57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D21A3B" w:rsidRPr="00FC2D35" w:rsidRDefault="00602A34" w:rsidP="00ED7DF5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>A bemutatott kalkulációs séma a nemzeti könyvvizsgálati standardokban rögzített könyvvizsgálati munkafoly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matokra épül, a standardok ennek a munkának, ezeknek a feladatoknak az elvégzését követelik meg a köny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v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vizsgálótól. Az egyes munkaszakaszokhoz írt </w:t>
      </w:r>
      <w:r w:rsidR="00D825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becsült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óraráfordítások nem csak az adott munkafeladat elvégz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é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sét, hanem az elvégzett munk</w:t>
      </w:r>
      <w:r w:rsidR="000A1C37" w:rsidRPr="00FC2D35">
        <w:rPr>
          <w:rFonts w:asciiTheme="majorBidi" w:hAnsiTheme="majorBidi" w:cstheme="majorBidi"/>
          <w:sz w:val="20"/>
          <w:szCs w:val="20"/>
          <w:lang w:val="hu-HU"/>
        </w:rPr>
        <w:t>a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standardokban foglalt követelmények</w:t>
      </w:r>
      <w:r w:rsidR="000A1C37" w:rsidRPr="00FC2D35">
        <w:rPr>
          <w:rFonts w:asciiTheme="majorBidi" w:hAnsiTheme="majorBidi" w:cstheme="majorBidi"/>
          <w:sz w:val="20"/>
          <w:szCs w:val="20"/>
          <w:lang w:val="hu-HU"/>
        </w:rPr>
        <w:t>nek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megfelelő dokumentálását is magukban foglalják. </w:t>
      </w:r>
    </w:p>
    <w:p w:rsidR="006629DE" w:rsidRPr="00FC2D35" w:rsidRDefault="006629DE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E40574" w:rsidRPr="00FC2D35" w:rsidRDefault="00E40574" w:rsidP="00ED7DF5">
      <w:pPr>
        <w:rPr>
          <w:rFonts w:asciiTheme="majorBidi" w:hAnsiTheme="majorBidi" w:cstheme="majorBidi"/>
          <w:sz w:val="20"/>
          <w:szCs w:val="20"/>
          <w:lang w:val="hu-HU"/>
        </w:rPr>
      </w:pP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="00D825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fentiekben bemutatott mintapélda a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Szakértői Bizottság ajánlása, amely a nemzeti standardokkal összhangban végzett könyvvizsgálatok megbízási díjának </w:t>
      </w:r>
      <w:r w:rsidR="0010792B" w:rsidRPr="00FC2D35">
        <w:rPr>
          <w:rFonts w:asciiTheme="majorBidi" w:hAnsiTheme="majorBidi" w:cstheme="majorBidi"/>
          <w:sz w:val="20"/>
          <w:szCs w:val="20"/>
          <w:lang w:val="hu-HU"/>
        </w:rPr>
        <w:t>alapját képező munkaóra ráfordítások meghatározásához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 kíván </w:t>
      </w:r>
      <w:r w:rsidR="00D825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módszertani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 xml:space="preserve">segítséget nyújtani és egyúttal iránymutatásként szolgálni a könyvvizsgálóknak. Fontosnak tartja </w:t>
      </w:r>
      <w:r w:rsidR="00D8253B" w:rsidRPr="00FC2D35">
        <w:rPr>
          <w:rFonts w:asciiTheme="majorBidi" w:hAnsiTheme="majorBidi" w:cstheme="majorBidi"/>
          <w:sz w:val="20"/>
          <w:szCs w:val="20"/>
          <w:lang w:val="hu-HU"/>
        </w:rPr>
        <w:t xml:space="preserve">a 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Szakértői Bizottság azt is, hogy a megbízó is képet kapjon és megértse a könyvvizsgálat összetettségét és bony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o</w:t>
      </w:r>
      <w:r w:rsidRPr="00FC2D35">
        <w:rPr>
          <w:rFonts w:asciiTheme="majorBidi" w:hAnsiTheme="majorBidi" w:cstheme="majorBidi"/>
          <w:sz w:val="20"/>
          <w:szCs w:val="20"/>
          <w:lang w:val="hu-HU"/>
        </w:rPr>
        <w:t>lultságát, a könyvvizsgálókra és a könyvvizsgálati tevékenységre vonatkozó magas szintű minőségbiztosítási és szakmai képzési követelményeket és ezek költségvonzatait, amelyekkel a könyvvizsgálóknak számolniuk kell a könyvvizsgálói díjak meghatározásánál</w:t>
      </w:r>
      <w:r w:rsidR="006629DE" w:rsidRPr="00FC2D35">
        <w:rPr>
          <w:rFonts w:asciiTheme="majorBidi" w:hAnsiTheme="majorBidi" w:cstheme="majorBidi"/>
          <w:sz w:val="20"/>
          <w:szCs w:val="20"/>
          <w:lang w:val="hu-HU"/>
        </w:rPr>
        <w:t>.</w:t>
      </w:r>
    </w:p>
    <w:p w:rsidR="00E40574" w:rsidRPr="00FC2D35" w:rsidRDefault="00E40574" w:rsidP="00ED7DF5">
      <w:pPr>
        <w:rPr>
          <w:rFonts w:asciiTheme="majorBidi" w:hAnsiTheme="majorBidi" w:cstheme="majorBidi"/>
          <w:sz w:val="20"/>
          <w:szCs w:val="20"/>
          <w:lang w:val="hu-HU"/>
        </w:rPr>
      </w:pPr>
    </w:p>
    <w:p w:rsidR="00E40574" w:rsidRPr="001766F9" w:rsidRDefault="00E40574" w:rsidP="001D748D">
      <w:pPr>
        <w:jc w:val="left"/>
        <w:rPr>
          <w:lang w:val="hu-HU"/>
        </w:rPr>
      </w:pPr>
    </w:p>
    <w:sectPr w:rsidR="00E40574" w:rsidRPr="001766F9" w:rsidSect="00953F53">
      <w:footerReference w:type="default" r:id="rId11"/>
      <w:pgSz w:w="11906" w:h="16838" w:code="9"/>
      <w:pgMar w:top="1417" w:right="1417" w:bottom="1417" w:left="1417" w:header="709" w:footer="14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D4" w:rsidRDefault="008A39D4" w:rsidP="00EA3DAE">
      <w:pPr>
        <w:spacing w:line="240" w:lineRule="auto"/>
      </w:pPr>
      <w:r>
        <w:separator/>
      </w:r>
    </w:p>
  </w:endnote>
  <w:endnote w:type="continuationSeparator" w:id="0">
    <w:p w:rsidR="008A39D4" w:rsidRDefault="008A39D4" w:rsidP="00EA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84457"/>
      <w:docPartObj>
        <w:docPartGallery w:val="Page Numbers (Bottom of Page)"/>
        <w:docPartUnique/>
      </w:docPartObj>
    </w:sdtPr>
    <w:sdtEndPr/>
    <w:sdtContent>
      <w:p w:rsidR="00834EB3" w:rsidRDefault="00834E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11" w:rsidRPr="00A17B11">
          <w:rPr>
            <w:noProof/>
            <w:lang w:val="hu-HU"/>
          </w:rPr>
          <w:t>6</w:t>
        </w:r>
        <w:r>
          <w:fldChar w:fldCharType="end"/>
        </w:r>
      </w:p>
    </w:sdtContent>
  </w:sdt>
  <w:p w:rsidR="00834EB3" w:rsidRDefault="00834E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D4" w:rsidRDefault="008A39D4" w:rsidP="00EA3DAE">
      <w:pPr>
        <w:spacing w:line="240" w:lineRule="auto"/>
      </w:pPr>
      <w:r>
        <w:separator/>
      </w:r>
    </w:p>
  </w:footnote>
  <w:footnote w:type="continuationSeparator" w:id="0">
    <w:p w:rsidR="008A39D4" w:rsidRDefault="008A39D4" w:rsidP="00EA3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E90"/>
    <w:multiLevelType w:val="hybridMultilevel"/>
    <w:tmpl w:val="7E90C8EA"/>
    <w:lvl w:ilvl="0" w:tplc="8B8A916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00E8"/>
    <w:multiLevelType w:val="hybridMultilevel"/>
    <w:tmpl w:val="C38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199D"/>
    <w:multiLevelType w:val="hybridMultilevel"/>
    <w:tmpl w:val="93720790"/>
    <w:lvl w:ilvl="0" w:tplc="96B2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6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06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E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A5C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E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D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4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C3288A"/>
    <w:multiLevelType w:val="hybridMultilevel"/>
    <w:tmpl w:val="04628860"/>
    <w:lvl w:ilvl="0" w:tplc="040E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>
    <w:nsid w:val="45B45CEC"/>
    <w:multiLevelType w:val="hybridMultilevel"/>
    <w:tmpl w:val="2ECCC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0303"/>
    <w:multiLevelType w:val="hybridMultilevel"/>
    <w:tmpl w:val="8B8E7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E72BC"/>
    <w:multiLevelType w:val="hybridMultilevel"/>
    <w:tmpl w:val="CD3E6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7200"/>
    <w:multiLevelType w:val="hybridMultilevel"/>
    <w:tmpl w:val="9A983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90E23"/>
    <w:multiLevelType w:val="hybridMultilevel"/>
    <w:tmpl w:val="F2BEE52A"/>
    <w:lvl w:ilvl="0" w:tplc="040E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>
    <w:nsid w:val="5CA26A91"/>
    <w:multiLevelType w:val="hybridMultilevel"/>
    <w:tmpl w:val="38268792"/>
    <w:lvl w:ilvl="0" w:tplc="52E8E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2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1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0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B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6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8D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A3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0C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E77DF"/>
    <w:multiLevelType w:val="hybridMultilevel"/>
    <w:tmpl w:val="73AE6AA4"/>
    <w:lvl w:ilvl="0" w:tplc="60EA6064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242B7"/>
    <w:multiLevelType w:val="hybridMultilevel"/>
    <w:tmpl w:val="5B786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4121C"/>
    <w:multiLevelType w:val="hybridMultilevel"/>
    <w:tmpl w:val="F7A4F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E532A"/>
    <w:multiLevelType w:val="hybridMultilevel"/>
    <w:tmpl w:val="5CEE8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2A10"/>
    <w:multiLevelType w:val="hybridMultilevel"/>
    <w:tmpl w:val="E8386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ics Péter">
    <w15:presenceInfo w15:providerId="Windows Live" w15:userId="454f6bfd96c63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7D"/>
    <w:rsid w:val="00001707"/>
    <w:rsid w:val="00001DD2"/>
    <w:rsid w:val="00012EB8"/>
    <w:rsid w:val="0002045A"/>
    <w:rsid w:val="000255D0"/>
    <w:rsid w:val="00026A7D"/>
    <w:rsid w:val="000312B2"/>
    <w:rsid w:val="000315EF"/>
    <w:rsid w:val="0003333A"/>
    <w:rsid w:val="00034888"/>
    <w:rsid w:val="0006628E"/>
    <w:rsid w:val="00066DB5"/>
    <w:rsid w:val="00066F67"/>
    <w:rsid w:val="00083E22"/>
    <w:rsid w:val="000856CF"/>
    <w:rsid w:val="00096089"/>
    <w:rsid w:val="000A1C37"/>
    <w:rsid w:val="000B0A0A"/>
    <w:rsid w:val="000B1044"/>
    <w:rsid w:val="000B4375"/>
    <w:rsid w:val="000B6663"/>
    <w:rsid w:val="000B7EFB"/>
    <w:rsid w:val="000C6947"/>
    <w:rsid w:val="000C7D1A"/>
    <w:rsid w:val="000D2840"/>
    <w:rsid w:val="000D697A"/>
    <w:rsid w:val="000E1130"/>
    <w:rsid w:val="000F0623"/>
    <w:rsid w:val="000F260F"/>
    <w:rsid w:val="0010013B"/>
    <w:rsid w:val="00101159"/>
    <w:rsid w:val="00102A20"/>
    <w:rsid w:val="00103B30"/>
    <w:rsid w:val="00105160"/>
    <w:rsid w:val="0010792B"/>
    <w:rsid w:val="00113DEC"/>
    <w:rsid w:val="00125612"/>
    <w:rsid w:val="00126CA5"/>
    <w:rsid w:val="00130FB6"/>
    <w:rsid w:val="0013411C"/>
    <w:rsid w:val="00152714"/>
    <w:rsid w:val="00154975"/>
    <w:rsid w:val="001617BD"/>
    <w:rsid w:val="00161EBC"/>
    <w:rsid w:val="00165347"/>
    <w:rsid w:val="0017012E"/>
    <w:rsid w:val="001705AD"/>
    <w:rsid w:val="00175DC1"/>
    <w:rsid w:val="001766F9"/>
    <w:rsid w:val="00176921"/>
    <w:rsid w:val="00191A5F"/>
    <w:rsid w:val="00194B2D"/>
    <w:rsid w:val="001A3930"/>
    <w:rsid w:val="001B3FCB"/>
    <w:rsid w:val="001B41B0"/>
    <w:rsid w:val="001B65B3"/>
    <w:rsid w:val="001B7D02"/>
    <w:rsid w:val="001C26D3"/>
    <w:rsid w:val="001D3A3C"/>
    <w:rsid w:val="001D505B"/>
    <w:rsid w:val="001D748D"/>
    <w:rsid w:val="001E4437"/>
    <w:rsid w:val="001F111B"/>
    <w:rsid w:val="00201A68"/>
    <w:rsid w:val="00205B66"/>
    <w:rsid w:val="00224539"/>
    <w:rsid w:val="00232D0D"/>
    <w:rsid w:val="002379A8"/>
    <w:rsid w:val="00240263"/>
    <w:rsid w:val="0024583B"/>
    <w:rsid w:val="0024705C"/>
    <w:rsid w:val="00255E4A"/>
    <w:rsid w:val="00256053"/>
    <w:rsid w:val="00256AD9"/>
    <w:rsid w:val="00257554"/>
    <w:rsid w:val="002608AA"/>
    <w:rsid w:val="00273422"/>
    <w:rsid w:val="002811C8"/>
    <w:rsid w:val="0029744F"/>
    <w:rsid w:val="002A1831"/>
    <w:rsid w:val="002A4E25"/>
    <w:rsid w:val="002A4FF2"/>
    <w:rsid w:val="002C0A06"/>
    <w:rsid w:val="002C7571"/>
    <w:rsid w:val="002D2793"/>
    <w:rsid w:val="002D2A80"/>
    <w:rsid w:val="002D794A"/>
    <w:rsid w:val="002E0E40"/>
    <w:rsid w:val="002E2E04"/>
    <w:rsid w:val="002E6D8B"/>
    <w:rsid w:val="002F022A"/>
    <w:rsid w:val="002F2312"/>
    <w:rsid w:val="00304DB1"/>
    <w:rsid w:val="0031511E"/>
    <w:rsid w:val="0031613B"/>
    <w:rsid w:val="00316EEA"/>
    <w:rsid w:val="003179CD"/>
    <w:rsid w:val="003200C1"/>
    <w:rsid w:val="00334641"/>
    <w:rsid w:val="00334F31"/>
    <w:rsid w:val="00341298"/>
    <w:rsid w:val="00343656"/>
    <w:rsid w:val="003514A7"/>
    <w:rsid w:val="00352EAB"/>
    <w:rsid w:val="003641B9"/>
    <w:rsid w:val="003651DE"/>
    <w:rsid w:val="00366E52"/>
    <w:rsid w:val="00366E71"/>
    <w:rsid w:val="00376299"/>
    <w:rsid w:val="00376355"/>
    <w:rsid w:val="0039716D"/>
    <w:rsid w:val="003A1013"/>
    <w:rsid w:val="003A5057"/>
    <w:rsid w:val="003B0D25"/>
    <w:rsid w:val="003B48C9"/>
    <w:rsid w:val="003C1320"/>
    <w:rsid w:val="003C792A"/>
    <w:rsid w:val="003D001E"/>
    <w:rsid w:val="003D137B"/>
    <w:rsid w:val="003D343E"/>
    <w:rsid w:val="003D56CC"/>
    <w:rsid w:val="003F065D"/>
    <w:rsid w:val="003F6FFB"/>
    <w:rsid w:val="00402FA4"/>
    <w:rsid w:val="00406F54"/>
    <w:rsid w:val="00407CA3"/>
    <w:rsid w:val="0041164A"/>
    <w:rsid w:val="00415B95"/>
    <w:rsid w:val="00417C56"/>
    <w:rsid w:val="004202DD"/>
    <w:rsid w:val="00420DDA"/>
    <w:rsid w:val="00433FA8"/>
    <w:rsid w:val="004361FA"/>
    <w:rsid w:val="0044237F"/>
    <w:rsid w:val="00442415"/>
    <w:rsid w:val="004450DB"/>
    <w:rsid w:val="00454763"/>
    <w:rsid w:val="00454E82"/>
    <w:rsid w:val="004569BD"/>
    <w:rsid w:val="00461DB3"/>
    <w:rsid w:val="00464890"/>
    <w:rsid w:val="00470BB4"/>
    <w:rsid w:val="004728E8"/>
    <w:rsid w:val="00477158"/>
    <w:rsid w:val="0048053D"/>
    <w:rsid w:val="0048452A"/>
    <w:rsid w:val="00492F4C"/>
    <w:rsid w:val="00494574"/>
    <w:rsid w:val="004A56A5"/>
    <w:rsid w:val="004B106A"/>
    <w:rsid w:val="004B19DB"/>
    <w:rsid w:val="004B5DEC"/>
    <w:rsid w:val="004D049E"/>
    <w:rsid w:val="004D0DD1"/>
    <w:rsid w:val="004D441A"/>
    <w:rsid w:val="004E2F60"/>
    <w:rsid w:val="004E5A74"/>
    <w:rsid w:val="004F55D6"/>
    <w:rsid w:val="004F5CEF"/>
    <w:rsid w:val="00503133"/>
    <w:rsid w:val="00511441"/>
    <w:rsid w:val="005217C4"/>
    <w:rsid w:val="005304F9"/>
    <w:rsid w:val="00544543"/>
    <w:rsid w:val="00555C15"/>
    <w:rsid w:val="00557AF5"/>
    <w:rsid w:val="00560C68"/>
    <w:rsid w:val="00566BCD"/>
    <w:rsid w:val="00573825"/>
    <w:rsid w:val="00586516"/>
    <w:rsid w:val="00587C71"/>
    <w:rsid w:val="00593FC2"/>
    <w:rsid w:val="00594E12"/>
    <w:rsid w:val="00595F79"/>
    <w:rsid w:val="005A50C9"/>
    <w:rsid w:val="005B0E5A"/>
    <w:rsid w:val="005B4417"/>
    <w:rsid w:val="005B61A4"/>
    <w:rsid w:val="005C3BED"/>
    <w:rsid w:val="005C4885"/>
    <w:rsid w:val="005D0539"/>
    <w:rsid w:val="005D248C"/>
    <w:rsid w:val="005F71F8"/>
    <w:rsid w:val="00601CB5"/>
    <w:rsid w:val="00602A34"/>
    <w:rsid w:val="00607773"/>
    <w:rsid w:val="00616C66"/>
    <w:rsid w:val="0062629D"/>
    <w:rsid w:val="00635C56"/>
    <w:rsid w:val="00636BFA"/>
    <w:rsid w:val="00641DB9"/>
    <w:rsid w:val="00646367"/>
    <w:rsid w:val="006514A5"/>
    <w:rsid w:val="006531FC"/>
    <w:rsid w:val="00653DE1"/>
    <w:rsid w:val="00655F88"/>
    <w:rsid w:val="006629DE"/>
    <w:rsid w:val="00662FAA"/>
    <w:rsid w:val="006633C1"/>
    <w:rsid w:val="00663A40"/>
    <w:rsid w:val="00663F54"/>
    <w:rsid w:val="00665AFF"/>
    <w:rsid w:val="00673C63"/>
    <w:rsid w:val="0067696E"/>
    <w:rsid w:val="006775BA"/>
    <w:rsid w:val="00677D0B"/>
    <w:rsid w:val="00680DD8"/>
    <w:rsid w:val="00692E60"/>
    <w:rsid w:val="006941B5"/>
    <w:rsid w:val="006950A1"/>
    <w:rsid w:val="006A5285"/>
    <w:rsid w:val="006B6039"/>
    <w:rsid w:val="006B7C09"/>
    <w:rsid w:val="006D2E1A"/>
    <w:rsid w:val="006D2E2D"/>
    <w:rsid w:val="006D3631"/>
    <w:rsid w:val="006D71DF"/>
    <w:rsid w:val="006F190F"/>
    <w:rsid w:val="006F72F9"/>
    <w:rsid w:val="006F7E38"/>
    <w:rsid w:val="00716254"/>
    <w:rsid w:val="00716BC0"/>
    <w:rsid w:val="0072537D"/>
    <w:rsid w:val="00730EF7"/>
    <w:rsid w:val="00733CF7"/>
    <w:rsid w:val="00733E02"/>
    <w:rsid w:val="007369EE"/>
    <w:rsid w:val="007377D4"/>
    <w:rsid w:val="00737E3C"/>
    <w:rsid w:val="00742576"/>
    <w:rsid w:val="00742F4F"/>
    <w:rsid w:val="007463F0"/>
    <w:rsid w:val="00746550"/>
    <w:rsid w:val="007556B5"/>
    <w:rsid w:val="00756847"/>
    <w:rsid w:val="00761230"/>
    <w:rsid w:val="0076197D"/>
    <w:rsid w:val="00764595"/>
    <w:rsid w:val="00764F58"/>
    <w:rsid w:val="00766AF9"/>
    <w:rsid w:val="00767937"/>
    <w:rsid w:val="00775F6E"/>
    <w:rsid w:val="00781532"/>
    <w:rsid w:val="00782FDB"/>
    <w:rsid w:val="00785F75"/>
    <w:rsid w:val="0078610B"/>
    <w:rsid w:val="00786363"/>
    <w:rsid w:val="00786420"/>
    <w:rsid w:val="00790A93"/>
    <w:rsid w:val="0079276C"/>
    <w:rsid w:val="007A00B7"/>
    <w:rsid w:val="007B5276"/>
    <w:rsid w:val="007B68DB"/>
    <w:rsid w:val="007B7847"/>
    <w:rsid w:val="007C54EF"/>
    <w:rsid w:val="007C6251"/>
    <w:rsid w:val="007E1883"/>
    <w:rsid w:val="007E2517"/>
    <w:rsid w:val="007F104D"/>
    <w:rsid w:val="00803C48"/>
    <w:rsid w:val="00820ADF"/>
    <w:rsid w:val="00823093"/>
    <w:rsid w:val="00834EB3"/>
    <w:rsid w:val="0084344B"/>
    <w:rsid w:val="00844911"/>
    <w:rsid w:val="00846F01"/>
    <w:rsid w:val="00856F25"/>
    <w:rsid w:val="00857783"/>
    <w:rsid w:val="00865065"/>
    <w:rsid w:val="00872337"/>
    <w:rsid w:val="00874CB5"/>
    <w:rsid w:val="008759CE"/>
    <w:rsid w:val="008771B4"/>
    <w:rsid w:val="008858CC"/>
    <w:rsid w:val="0089777D"/>
    <w:rsid w:val="008A1D24"/>
    <w:rsid w:val="008A1F2D"/>
    <w:rsid w:val="008A39D4"/>
    <w:rsid w:val="008A404C"/>
    <w:rsid w:val="008A7BB6"/>
    <w:rsid w:val="008C5B02"/>
    <w:rsid w:val="008C7901"/>
    <w:rsid w:val="008D0AF2"/>
    <w:rsid w:val="008D74FB"/>
    <w:rsid w:val="008E4618"/>
    <w:rsid w:val="008F6AC2"/>
    <w:rsid w:val="00921342"/>
    <w:rsid w:val="009223EF"/>
    <w:rsid w:val="00930846"/>
    <w:rsid w:val="0093313F"/>
    <w:rsid w:val="00940C18"/>
    <w:rsid w:val="00945ABE"/>
    <w:rsid w:val="00953F53"/>
    <w:rsid w:val="00954C17"/>
    <w:rsid w:val="009574BE"/>
    <w:rsid w:val="00957E7B"/>
    <w:rsid w:val="0096038B"/>
    <w:rsid w:val="0096463A"/>
    <w:rsid w:val="009777F0"/>
    <w:rsid w:val="00980963"/>
    <w:rsid w:val="009824FF"/>
    <w:rsid w:val="00990D28"/>
    <w:rsid w:val="00996694"/>
    <w:rsid w:val="009B5AF8"/>
    <w:rsid w:val="009C6645"/>
    <w:rsid w:val="009C7A60"/>
    <w:rsid w:val="009C7F88"/>
    <w:rsid w:val="009D19A5"/>
    <w:rsid w:val="009D7464"/>
    <w:rsid w:val="009E39DC"/>
    <w:rsid w:val="009E3F57"/>
    <w:rsid w:val="009F1E46"/>
    <w:rsid w:val="009F5B65"/>
    <w:rsid w:val="009F78A5"/>
    <w:rsid w:val="009F7D75"/>
    <w:rsid w:val="00A054AB"/>
    <w:rsid w:val="00A13A10"/>
    <w:rsid w:val="00A17B11"/>
    <w:rsid w:val="00A2352D"/>
    <w:rsid w:val="00A24417"/>
    <w:rsid w:val="00A45DB4"/>
    <w:rsid w:val="00A53EB5"/>
    <w:rsid w:val="00A61972"/>
    <w:rsid w:val="00A6506C"/>
    <w:rsid w:val="00A747F4"/>
    <w:rsid w:val="00A75E4D"/>
    <w:rsid w:val="00A77776"/>
    <w:rsid w:val="00A91D9E"/>
    <w:rsid w:val="00A97D07"/>
    <w:rsid w:val="00AB1A8B"/>
    <w:rsid w:val="00AB2438"/>
    <w:rsid w:val="00AB4CB4"/>
    <w:rsid w:val="00AC5E57"/>
    <w:rsid w:val="00AC60C0"/>
    <w:rsid w:val="00AC6F02"/>
    <w:rsid w:val="00AD31B7"/>
    <w:rsid w:val="00AD5E22"/>
    <w:rsid w:val="00AE3B24"/>
    <w:rsid w:val="00AF2208"/>
    <w:rsid w:val="00AF51DF"/>
    <w:rsid w:val="00B02DA8"/>
    <w:rsid w:val="00B103E4"/>
    <w:rsid w:val="00B13F5F"/>
    <w:rsid w:val="00B35819"/>
    <w:rsid w:val="00B375A8"/>
    <w:rsid w:val="00B450E7"/>
    <w:rsid w:val="00B476A2"/>
    <w:rsid w:val="00B5112C"/>
    <w:rsid w:val="00B56BE3"/>
    <w:rsid w:val="00B57606"/>
    <w:rsid w:val="00B576D8"/>
    <w:rsid w:val="00B70E5E"/>
    <w:rsid w:val="00B7406C"/>
    <w:rsid w:val="00B87E54"/>
    <w:rsid w:val="00B9445D"/>
    <w:rsid w:val="00B95CE0"/>
    <w:rsid w:val="00BA023C"/>
    <w:rsid w:val="00BA1CB6"/>
    <w:rsid w:val="00BB6203"/>
    <w:rsid w:val="00BB7BF5"/>
    <w:rsid w:val="00BC17D5"/>
    <w:rsid w:val="00BC1DBD"/>
    <w:rsid w:val="00BD0DFB"/>
    <w:rsid w:val="00BD1B60"/>
    <w:rsid w:val="00BD435A"/>
    <w:rsid w:val="00BE1602"/>
    <w:rsid w:val="00BE4224"/>
    <w:rsid w:val="00BE4582"/>
    <w:rsid w:val="00BF4868"/>
    <w:rsid w:val="00C0735D"/>
    <w:rsid w:val="00C07A72"/>
    <w:rsid w:val="00C12EC6"/>
    <w:rsid w:val="00C2072F"/>
    <w:rsid w:val="00C33431"/>
    <w:rsid w:val="00C34689"/>
    <w:rsid w:val="00C40863"/>
    <w:rsid w:val="00C43498"/>
    <w:rsid w:val="00C534CC"/>
    <w:rsid w:val="00C63CFB"/>
    <w:rsid w:val="00C66C3E"/>
    <w:rsid w:val="00C82727"/>
    <w:rsid w:val="00C91E8B"/>
    <w:rsid w:val="00C92F81"/>
    <w:rsid w:val="00C9318D"/>
    <w:rsid w:val="00C97C60"/>
    <w:rsid w:val="00CC5079"/>
    <w:rsid w:val="00CC7415"/>
    <w:rsid w:val="00CE0C95"/>
    <w:rsid w:val="00CE482B"/>
    <w:rsid w:val="00CE60F2"/>
    <w:rsid w:val="00CF26F8"/>
    <w:rsid w:val="00CF42E5"/>
    <w:rsid w:val="00CF6CB6"/>
    <w:rsid w:val="00CF7880"/>
    <w:rsid w:val="00D00FF4"/>
    <w:rsid w:val="00D01848"/>
    <w:rsid w:val="00D06EEB"/>
    <w:rsid w:val="00D104A8"/>
    <w:rsid w:val="00D12868"/>
    <w:rsid w:val="00D16095"/>
    <w:rsid w:val="00D17A73"/>
    <w:rsid w:val="00D21A3B"/>
    <w:rsid w:val="00D25EAA"/>
    <w:rsid w:val="00D346E8"/>
    <w:rsid w:val="00D371A6"/>
    <w:rsid w:val="00D374FE"/>
    <w:rsid w:val="00D41E79"/>
    <w:rsid w:val="00D42C4F"/>
    <w:rsid w:val="00D42D65"/>
    <w:rsid w:val="00D45849"/>
    <w:rsid w:val="00D46DEC"/>
    <w:rsid w:val="00D54C86"/>
    <w:rsid w:val="00D577F3"/>
    <w:rsid w:val="00D62F76"/>
    <w:rsid w:val="00D65F73"/>
    <w:rsid w:val="00D81B78"/>
    <w:rsid w:val="00D8253B"/>
    <w:rsid w:val="00D8448B"/>
    <w:rsid w:val="00D8603B"/>
    <w:rsid w:val="00D86755"/>
    <w:rsid w:val="00D94C98"/>
    <w:rsid w:val="00D96560"/>
    <w:rsid w:val="00DA2306"/>
    <w:rsid w:val="00DC155D"/>
    <w:rsid w:val="00DC477C"/>
    <w:rsid w:val="00DD16F1"/>
    <w:rsid w:val="00DE6DEF"/>
    <w:rsid w:val="00DF32DE"/>
    <w:rsid w:val="00DF6A02"/>
    <w:rsid w:val="00E04F5A"/>
    <w:rsid w:val="00E05EED"/>
    <w:rsid w:val="00E15F5B"/>
    <w:rsid w:val="00E20DF5"/>
    <w:rsid w:val="00E278E0"/>
    <w:rsid w:val="00E368D7"/>
    <w:rsid w:val="00E36E96"/>
    <w:rsid w:val="00E40574"/>
    <w:rsid w:val="00E40B19"/>
    <w:rsid w:val="00E42594"/>
    <w:rsid w:val="00E425C5"/>
    <w:rsid w:val="00E4314B"/>
    <w:rsid w:val="00E47893"/>
    <w:rsid w:val="00E501FA"/>
    <w:rsid w:val="00E53350"/>
    <w:rsid w:val="00E53426"/>
    <w:rsid w:val="00E54D6F"/>
    <w:rsid w:val="00E54FC5"/>
    <w:rsid w:val="00E6278B"/>
    <w:rsid w:val="00E63B7F"/>
    <w:rsid w:val="00E678DF"/>
    <w:rsid w:val="00E774AA"/>
    <w:rsid w:val="00E82724"/>
    <w:rsid w:val="00E93BE6"/>
    <w:rsid w:val="00E96FA0"/>
    <w:rsid w:val="00E97F45"/>
    <w:rsid w:val="00EA1A92"/>
    <w:rsid w:val="00EA3DAE"/>
    <w:rsid w:val="00EA7691"/>
    <w:rsid w:val="00EB03E9"/>
    <w:rsid w:val="00EB19B7"/>
    <w:rsid w:val="00EB6BE0"/>
    <w:rsid w:val="00EC0E6A"/>
    <w:rsid w:val="00EC1EE6"/>
    <w:rsid w:val="00EC7617"/>
    <w:rsid w:val="00ED7DF5"/>
    <w:rsid w:val="00EE7180"/>
    <w:rsid w:val="00EF20A1"/>
    <w:rsid w:val="00EF6330"/>
    <w:rsid w:val="00F10003"/>
    <w:rsid w:val="00F10AA0"/>
    <w:rsid w:val="00F17E65"/>
    <w:rsid w:val="00F217B7"/>
    <w:rsid w:val="00F2200D"/>
    <w:rsid w:val="00F255CD"/>
    <w:rsid w:val="00F43931"/>
    <w:rsid w:val="00F646E6"/>
    <w:rsid w:val="00F71063"/>
    <w:rsid w:val="00F743B8"/>
    <w:rsid w:val="00F76DE2"/>
    <w:rsid w:val="00F90A3A"/>
    <w:rsid w:val="00F91182"/>
    <w:rsid w:val="00F95A3E"/>
    <w:rsid w:val="00FA0EFC"/>
    <w:rsid w:val="00FB2EAE"/>
    <w:rsid w:val="00FB7FE8"/>
    <w:rsid w:val="00FC2D35"/>
    <w:rsid w:val="00FC3563"/>
    <w:rsid w:val="00FD121F"/>
    <w:rsid w:val="00FE291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e-AT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7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3DA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DAE"/>
  </w:style>
  <w:style w:type="paragraph" w:styleId="llb">
    <w:name w:val="footer"/>
    <w:basedOn w:val="Norml"/>
    <w:link w:val="llbChar"/>
    <w:uiPriority w:val="99"/>
    <w:unhideWhenUsed/>
    <w:rsid w:val="00EA3DA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DAE"/>
  </w:style>
  <w:style w:type="paragraph" w:styleId="Cm">
    <w:name w:val="Title"/>
    <w:basedOn w:val="Norml"/>
    <w:next w:val="Norml"/>
    <w:link w:val="CmChar"/>
    <w:uiPriority w:val="10"/>
    <w:qFormat/>
    <w:rsid w:val="00EA3DAE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EA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EA3DA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11"/>
    <w:rsid w:val="00EA3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AE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EA3DAE"/>
    <w:pPr>
      <w:spacing w:line="240" w:lineRule="auto"/>
      <w:jc w:val="left"/>
    </w:pPr>
    <w:rPr>
      <w:rFonts w:asciiTheme="minorHAnsi" w:eastAsiaTheme="minorEastAsia" w:hAnsiTheme="minorHAnsi"/>
      <w:sz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A3DAE"/>
    <w:rPr>
      <w:rFonts w:asciiTheme="minorHAnsi" w:eastAsiaTheme="minorEastAsia" w:hAnsiTheme="minorHAnsi"/>
      <w:sz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5B0E5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EE71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7180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B2438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13F5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F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13F5F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e-AT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7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3DA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DAE"/>
  </w:style>
  <w:style w:type="paragraph" w:styleId="llb">
    <w:name w:val="footer"/>
    <w:basedOn w:val="Norml"/>
    <w:link w:val="llbChar"/>
    <w:uiPriority w:val="99"/>
    <w:unhideWhenUsed/>
    <w:rsid w:val="00EA3DA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DAE"/>
  </w:style>
  <w:style w:type="paragraph" w:styleId="Cm">
    <w:name w:val="Title"/>
    <w:basedOn w:val="Norml"/>
    <w:next w:val="Norml"/>
    <w:link w:val="CmChar"/>
    <w:uiPriority w:val="10"/>
    <w:qFormat/>
    <w:rsid w:val="00EA3DAE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EA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EA3DA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uiPriority w:val="11"/>
    <w:rsid w:val="00EA3D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AE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EA3DAE"/>
    <w:pPr>
      <w:spacing w:line="240" w:lineRule="auto"/>
      <w:jc w:val="left"/>
    </w:pPr>
    <w:rPr>
      <w:rFonts w:asciiTheme="minorHAnsi" w:eastAsiaTheme="minorEastAsia" w:hAnsiTheme="minorHAnsi"/>
      <w:sz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A3DAE"/>
    <w:rPr>
      <w:rFonts w:asciiTheme="minorHAnsi" w:eastAsiaTheme="minorEastAsia" w:hAnsiTheme="minorHAnsi"/>
      <w:sz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5B0E5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EE71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7180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B2438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13F5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F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F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13F5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154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07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9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4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1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2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47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mkvk.hu/szervezet/bizottsagok/szakertoi/tudasta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EF88C-82CA-4E74-8D7D-A0F82DF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könyvvizsgálói díjak minimumára vonatkozó kamarai ajánlás felülvizsgálata</vt:lpstr>
    </vt:vector>
  </TitlesOfParts>
  <Company>IT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könyvvizsgálói díjak minimumára vonatkozó kamarai ajánlás felülvizsgálata</dc:title>
  <dc:creator>Szauer Zita</dc:creator>
  <cp:lastModifiedBy>Szalai Edit (Magyar Könyvvizsgálói Kamara)</cp:lastModifiedBy>
  <cp:revision>2</cp:revision>
  <dcterms:created xsi:type="dcterms:W3CDTF">2017-03-23T16:28:00Z</dcterms:created>
  <dcterms:modified xsi:type="dcterms:W3CDTF">2017-03-23T16:28:00Z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